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0"/>
        <w:jc w:val="center"/>
        <w:rPr>
          <w:rFonts w:ascii="黑体" w:hAnsi="Times New Roman" w:eastAsia="黑体" w:cs="Times New Roman"/>
          <w:b/>
          <w:bCs/>
          <w:color w:val="auto"/>
          <w:kern w:val="2"/>
          <w:sz w:val="48"/>
          <w:szCs w:val="48"/>
          <w:u w:val="single"/>
        </w:rPr>
      </w:pPr>
    </w:p>
    <w:p>
      <w:pPr>
        <w:pStyle w:val="50"/>
        <w:jc w:val="center"/>
        <w:rPr>
          <w:rFonts w:hint="eastAsia" w:ascii="黑体" w:hAnsi="Times New Roman" w:eastAsia="黑体" w:cs="Times New Roman"/>
          <w:b/>
          <w:bCs/>
          <w:color w:val="auto"/>
          <w:kern w:val="2"/>
          <w:sz w:val="48"/>
          <w:szCs w:val="48"/>
          <w:lang w:eastAsia="zh-CN"/>
        </w:rPr>
      </w:pPr>
      <w:r>
        <w:rPr>
          <w:rFonts w:hint="eastAsia" w:ascii="黑体" w:hAnsi="Times New Roman" w:eastAsia="黑体" w:cs="黑体"/>
          <w:b/>
          <w:bCs/>
          <w:color w:val="auto"/>
          <w:kern w:val="2"/>
          <w:sz w:val="48"/>
          <w:szCs w:val="48"/>
          <w:lang w:eastAsia="zh-CN"/>
        </w:rPr>
        <w:t>天津建设世界一流南部集疏运配套（海景大道南延）项目勘察招标</w:t>
      </w:r>
    </w:p>
    <w:p>
      <w:pPr>
        <w:pStyle w:val="50"/>
        <w:jc w:val="center"/>
        <w:rPr>
          <w:rFonts w:ascii="黑体" w:eastAsia="黑体" w:cs="Times New Roman"/>
          <w:b/>
          <w:bCs/>
          <w:color w:val="auto"/>
          <w:sz w:val="32"/>
          <w:szCs w:val="32"/>
        </w:rPr>
      </w:pPr>
    </w:p>
    <w:p>
      <w:pPr>
        <w:autoSpaceDE w:val="0"/>
        <w:autoSpaceDN w:val="0"/>
        <w:snapToGrid w:val="0"/>
        <w:jc w:val="center"/>
        <w:rPr>
          <w:rFonts w:ascii="黑体" w:hAnsi="Times New Roman" w:eastAsia="黑体" w:cs="Times New Roman"/>
          <w:b/>
          <w:bCs/>
          <w:color w:val="auto"/>
          <w:sz w:val="32"/>
          <w:szCs w:val="32"/>
        </w:rPr>
      </w:pPr>
    </w:p>
    <w:p>
      <w:pPr>
        <w:pStyle w:val="50"/>
        <w:jc w:val="both"/>
        <w:rPr>
          <w:rFonts w:ascii="黑体" w:eastAsia="黑体" w:cs="Times New Roman"/>
          <w:color w:val="auto"/>
          <w:sz w:val="48"/>
          <w:szCs w:val="48"/>
        </w:rPr>
      </w:pPr>
    </w:p>
    <w:p>
      <w:pPr>
        <w:pStyle w:val="50"/>
        <w:jc w:val="center"/>
        <w:rPr>
          <w:rFonts w:ascii="黑体" w:eastAsia="黑体" w:cs="Times New Roman"/>
          <w:color w:val="auto"/>
          <w:sz w:val="48"/>
          <w:szCs w:val="48"/>
        </w:rPr>
      </w:pPr>
    </w:p>
    <w:p>
      <w:pPr>
        <w:pStyle w:val="50"/>
        <w:jc w:val="center"/>
        <w:rPr>
          <w:rFonts w:ascii="黑体" w:eastAsia="黑体" w:cs="Times New Roman"/>
          <w:color w:val="auto"/>
          <w:sz w:val="48"/>
          <w:szCs w:val="48"/>
        </w:rPr>
      </w:pPr>
    </w:p>
    <w:p>
      <w:pPr>
        <w:pStyle w:val="50"/>
        <w:jc w:val="center"/>
        <w:rPr>
          <w:rFonts w:ascii="黑体" w:eastAsia="黑体" w:cs="Times New Roman"/>
          <w:color w:val="auto"/>
          <w:sz w:val="48"/>
          <w:szCs w:val="48"/>
        </w:rPr>
      </w:pPr>
    </w:p>
    <w:p>
      <w:pPr>
        <w:pStyle w:val="50"/>
        <w:jc w:val="center"/>
        <w:rPr>
          <w:rFonts w:ascii="黑体" w:eastAsia="黑体" w:cs="Times New Roman"/>
          <w:color w:val="auto"/>
          <w:sz w:val="48"/>
          <w:szCs w:val="48"/>
        </w:rPr>
      </w:pPr>
    </w:p>
    <w:p>
      <w:pPr>
        <w:pStyle w:val="50"/>
        <w:jc w:val="center"/>
        <w:rPr>
          <w:rFonts w:ascii="黑体" w:eastAsia="黑体" w:cs="Times New Roman"/>
          <w:color w:val="auto"/>
          <w:sz w:val="84"/>
          <w:szCs w:val="84"/>
        </w:rPr>
      </w:pPr>
      <w:r>
        <w:rPr>
          <w:rFonts w:hint="eastAsia" w:ascii="黑体" w:eastAsia="黑体" w:cs="黑体"/>
          <w:color w:val="auto"/>
          <w:sz w:val="84"/>
          <w:szCs w:val="84"/>
        </w:rPr>
        <w:t>招标文件</w:t>
      </w:r>
    </w:p>
    <w:p>
      <w:pPr>
        <w:pStyle w:val="50"/>
        <w:jc w:val="center"/>
        <w:rPr>
          <w:rFonts w:ascii="黑体" w:eastAsia="黑体" w:cs="Times New Roman"/>
          <w:color w:val="auto"/>
          <w:sz w:val="28"/>
          <w:szCs w:val="28"/>
        </w:rPr>
      </w:pPr>
      <w:r>
        <w:rPr>
          <w:rFonts w:hint="eastAsia" w:ascii="黑体" w:hAnsi="Times New Roman" w:eastAsia="黑体" w:cs="黑体"/>
          <w:b/>
          <w:bCs/>
          <w:color w:val="auto"/>
          <w:sz w:val="32"/>
          <w:szCs w:val="32"/>
        </w:rPr>
        <w:t>（招标编号：</w:t>
      </w:r>
      <w:r>
        <w:rPr>
          <w:rFonts w:hint="eastAsia" w:ascii="黑体" w:hAnsi="Times New Roman" w:eastAsia="黑体" w:cs="黑体"/>
          <w:b/>
          <w:bCs/>
          <w:color w:val="auto"/>
          <w:sz w:val="32"/>
          <w:szCs w:val="32"/>
          <w:u w:val="single"/>
        </w:rPr>
        <w:t>ctzx-2022-08</w:t>
      </w:r>
      <w:r>
        <w:rPr>
          <w:rFonts w:hint="eastAsia" w:ascii="黑体" w:hAnsi="Times New Roman" w:eastAsia="黑体" w:cs="黑体"/>
          <w:b/>
          <w:bCs/>
          <w:color w:val="auto"/>
          <w:sz w:val="32"/>
          <w:szCs w:val="32"/>
          <w:u w:val="single"/>
          <w:lang w:val="en-US" w:eastAsia="zh-CN"/>
        </w:rPr>
        <w:t>7号</w:t>
      </w:r>
      <w:r>
        <w:rPr>
          <w:rFonts w:hint="eastAsia" w:ascii="黑体" w:hAnsi="Times New Roman" w:eastAsia="黑体" w:cs="黑体"/>
          <w:b/>
          <w:bCs/>
          <w:color w:val="auto"/>
          <w:sz w:val="32"/>
          <w:szCs w:val="32"/>
        </w:rPr>
        <w:t>）</w:t>
      </w:r>
    </w:p>
    <w:p>
      <w:pPr>
        <w:pStyle w:val="50"/>
        <w:jc w:val="center"/>
        <w:rPr>
          <w:rFonts w:ascii="黑体" w:eastAsia="黑体" w:cs="Times New Roman"/>
          <w:color w:val="auto"/>
          <w:sz w:val="28"/>
          <w:szCs w:val="28"/>
        </w:rPr>
      </w:pPr>
    </w:p>
    <w:p>
      <w:pPr>
        <w:pStyle w:val="50"/>
        <w:jc w:val="center"/>
        <w:rPr>
          <w:rFonts w:ascii="黑体" w:eastAsia="黑体" w:cs="Times New Roman"/>
          <w:color w:val="auto"/>
          <w:sz w:val="28"/>
          <w:szCs w:val="28"/>
        </w:rPr>
      </w:pPr>
    </w:p>
    <w:p>
      <w:pPr>
        <w:pStyle w:val="50"/>
        <w:jc w:val="center"/>
        <w:rPr>
          <w:rFonts w:ascii="黑体" w:eastAsia="黑体" w:cs="Times New Roman"/>
          <w:color w:val="auto"/>
          <w:sz w:val="28"/>
          <w:szCs w:val="28"/>
        </w:rPr>
      </w:pPr>
    </w:p>
    <w:p>
      <w:pPr>
        <w:pStyle w:val="50"/>
        <w:jc w:val="center"/>
        <w:rPr>
          <w:rFonts w:ascii="黑体" w:eastAsia="黑体" w:cs="Times New Roman"/>
          <w:color w:val="auto"/>
          <w:sz w:val="28"/>
          <w:szCs w:val="28"/>
        </w:rPr>
      </w:pPr>
    </w:p>
    <w:p>
      <w:pPr>
        <w:pStyle w:val="50"/>
        <w:jc w:val="center"/>
        <w:rPr>
          <w:rFonts w:ascii="黑体" w:eastAsia="黑体" w:cs="Times New Roman"/>
          <w:color w:val="auto"/>
          <w:sz w:val="28"/>
          <w:szCs w:val="28"/>
        </w:rPr>
      </w:pPr>
    </w:p>
    <w:p>
      <w:pPr>
        <w:pStyle w:val="50"/>
        <w:jc w:val="center"/>
        <w:rPr>
          <w:rFonts w:ascii="黑体" w:eastAsia="黑体" w:cs="Times New Roman"/>
          <w:color w:val="auto"/>
          <w:sz w:val="28"/>
          <w:szCs w:val="28"/>
        </w:rPr>
      </w:pPr>
    </w:p>
    <w:p>
      <w:pPr>
        <w:pStyle w:val="50"/>
        <w:jc w:val="center"/>
        <w:rPr>
          <w:rFonts w:ascii="黑体" w:eastAsia="黑体" w:cs="Times New Roman"/>
          <w:color w:val="auto"/>
          <w:sz w:val="28"/>
          <w:szCs w:val="28"/>
        </w:rPr>
      </w:pPr>
    </w:p>
    <w:p>
      <w:pPr>
        <w:pStyle w:val="50"/>
        <w:rPr>
          <w:rFonts w:ascii="黑体" w:eastAsia="黑体" w:cs="Times New Roman"/>
          <w:color w:val="auto"/>
          <w:sz w:val="28"/>
          <w:szCs w:val="28"/>
        </w:rPr>
      </w:pPr>
    </w:p>
    <w:p>
      <w:pPr>
        <w:pStyle w:val="50"/>
        <w:rPr>
          <w:rFonts w:ascii="黑体" w:eastAsia="黑体" w:cs="Times New Roman"/>
          <w:color w:val="auto"/>
          <w:sz w:val="28"/>
          <w:szCs w:val="28"/>
        </w:rPr>
      </w:pPr>
    </w:p>
    <w:p>
      <w:pPr>
        <w:pStyle w:val="50"/>
        <w:rPr>
          <w:rFonts w:ascii="黑体" w:eastAsia="黑体" w:cs="Times New Roman"/>
          <w:color w:val="auto"/>
          <w:sz w:val="28"/>
          <w:szCs w:val="28"/>
        </w:rPr>
      </w:pPr>
    </w:p>
    <w:p>
      <w:pPr>
        <w:pStyle w:val="50"/>
        <w:spacing w:line="360" w:lineRule="auto"/>
        <w:jc w:val="both"/>
        <w:rPr>
          <w:rFonts w:cs="Times New Roman"/>
          <w:b/>
          <w:bCs/>
          <w:color w:val="auto"/>
          <w:sz w:val="28"/>
          <w:szCs w:val="28"/>
        </w:rPr>
      </w:pPr>
    </w:p>
    <w:p>
      <w:pPr>
        <w:pStyle w:val="50"/>
        <w:spacing w:line="360" w:lineRule="auto"/>
        <w:ind w:firstLine="562" w:firstLineChars="200"/>
        <w:jc w:val="both"/>
        <w:rPr>
          <w:b/>
          <w:bCs/>
          <w:color w:val="auto"/>
          <w:sz w:val="28"/>
          <w:szCs w:val="28"/>
        </w:rPr>
      </w:pPr>
      <w:r>
        <w:rPr>
          <w:rFonts w:hint="eastAsia" w:cs="宋体"/>
          <w:b/>
          <w:bCs/>
          <w:color w:val="auto"/>
          <w:sz w:val="28"/>
          <w:szCs w:val="28"/>
        </w:rPr>
        <w:t>招标人：</w:t>
      </w:r>
      <w:r>
        <w:rPr>
          <w:rFonts w:hint="eastAsia" w:cs="宋体"/>
          <w:b/>
          <w:bCs/>
          <w:color w:val="auto"/>
          <w:sz w:val="28"/>
          <w:szCs w:val="28"/>
          <w:u w:val="single"/>
        </w:rPr>
        <w:t xml:space="preserve"> 天津市滨海新区城投建设发展有限公司</w:t>
      </w:r>
      <w:r>
        <w:rPr>
          <w:rFonts w:hint="eastAsia" w:cs="宋体"/>
          <w:b/>
          <w:bCs/>
          <w:color w:val="auto"/>
          <w:sz w:val="28"/>
          <w:szCs w:val="28"/>
        </w:rPr>
        <w:t>（盖单位章）</w:t>
      </w:r>
    </w:p>
    <w:p>
      <w:pPr>
        <w:pStyle w:val="50"/>
        <w:spacing w:line="360" w:lineRule="auto"/>
        <w:ind w:firstLine="551" w:firstLineChars="196"/>
        <w:jc w:val="both"/>
        <w:rPr>
          <w:rFonts w:cs="Times New Roman"/>
          <w:b/>
          <w:bCs/>
          <w:color w:val="auto"/>
          <w:sz w:val="28"/>
          <w:szCs w:val="28"/>
        </w:rPr>
      </w:pPr>
      <w:r>
        <w:rPr>
          <w:rFonts w:hint="eastAsia" w:cs="宋体"/>
          <w:b/>
          <w:bCs/>
          <w:color w:val="auto"/>
          <w:sz w:val="28"/>
          <w:szCs w:val="28"/>
        </w:rPr>
        <w:t>招标代理机构</w:t>
      </w:r>
      <w:r>
        <w:rPr>
          <w:b/>
          <w:bCs/>
          <w:color w:val="auto"/>
          <w:sz w:val="28"/>
          <w:szCs w:val="28"/>
        </w:rPr>
        <w:t xml:space="preserve"> : </w:t>
      </w:r>
      <w:r>
        <w:rPr>
          <w:rFonts w:hint="eastAsia" w:cs="宋体"/>
          <w:b/>
          <w:bCs/>
          <w:color w:val="auto"/>
          <w:sz w:val="28"/>
          <w:szCs w:val="28"/>
          <w:u w:val="single"/>
        </w:rPr>
        <w:t xml:space="preserve"> 天津市滨海新区城投工程咨询有限公司</w:t>
      </w:r>
      <w:r>
        <w:rPr>
          <w:rFonts w:hint="eastAsia" w:cs="宋体"/>
          <w:b/>
          <w:bCs/>
          <w:color w:val="auto"/>
          <w:sz w:val="28"/>
          <w:szCs w:val="28"/>
        </w:rPr>
        <w:t>（盖单位章）</w:t>
      </w:r>
    </w:p>
    <w:p>
      <w:pPr>
        <w:pStyle w:val="50"/>
        <w:ind w:left="9" w:hanging="9" w:hangingChars="3"/>
        <w:jc w:val="center"/>
        <w:rPr>
          <w:rFonts w:ascii="Times New Roman" w:eastAsia="黑体" w:cs="Times New Roman"/>
          <w:color w:val="auto"/>
          <w:sz w:val="28"/>
          <w:szCs w:val="28"/>
        </w:rPr>
      </w:pPr>
      <w:r>
        <w:rPr>
          <w:rFonts w:hint="eastAsia"/>
          <w:b/>
          <w:bCs/>
          <w:color w:val="auto"/>
          <w:sz w:val="30"/>
          <w:szCs w:val="30"/>
          <w:u w:val="single"/>
        </w:rPr>
        <w:t>2022</w:t>
      </w:r>
      <w:r>
        <w:rPr>
          <w:rFonts w:hint="eastAsia" w:cs="宋体"/>
          <w:b/>
          <w:bCs/>
          <w:color w:val="auto"/>
          <w:sz w:val="30"/>
          <w:szCs w:val="30"/>
        </w:rPr>
        <w:t>年</w:t>
      </w:r>
      <w:r>
        <w:rPr>
          <w:rFonts w:hint="eastAsia" w:cs="宋体"/>
          <w:b/>
          <w:bCs/>
          <w:color w:val="auto"/>
          <w:sz w:val="30"/>
          <w:szCs w:val="30"/>
          <w:u w:val="single"/>
        </w:rPr>
        <w:t>4</w:t>
      </w:r>
      <w:r>
        <w:rPr>
          <w:rFonts w:hint="eastAsia" w:cs="宋体"/>
          <w:b/>
          <w:bCs/>
          <w:color w:val="auto"/>
          <w:sz w:val="30"/>
          <w:szCs w:val="30"/>
        </w:rPr>
        <w:t>月</w:t>
      </w:r>
    </w:p>
    <w:p>
      <w:pPr>
        <w:pStyle w:val="50"/>
        <w:spacing w:beforeLines="100" w:afterLines="100"/>
        <w:jc w:val="center"/>
        <w:rPr>
          <w:rFonts w:ascii="黑体" w:eastAsia="黑体" w:cs="Times New Roman"/>
          <w:color w:val="auto"/>
          <w:sz w:val="44"/>
          <w:szCs w:val="44"/>
        </w:rPr>
      </w:pPr>
      <w:r>
        <w:rPr>
          <w:rFonts w:hint="eastAsia" w:ascii="黑体" w:eastAsia="黑体" w:cs="黑体"/>
          <w:color w:val="auto"/>
          <w:sz w:val="44"/>
          <w:szCs w:val="44"/>
        </w:rPr>
        <w:br w:type="page"/>
      </w:r>
      <w:r>
        <w:rPr>
          <w:rFonts w:hint="eastAsia" w:ascii="黑体" w:eastAsia="黑体" w:cs="黑体"/>
          <w:color w:val="auto"/>
          <w:sz w:val="44"/>
          <w:szCs w:val="44"/>
        </w:rPr>
        <w:t>总目录</w:t>
      </w:r>
    </w:p>
    <w:p>
      <w:pPr>
        <w:pStyle w:val="50"/>
        <w:spacing w:beforeLines="100" w:afterLines="100"/>
        <w:jc w:val="center"/>
        <w:rPr>
          <w:rFonts w:cs="Times New Roman"/>
          <w:color w:val="auto"/>
          <w:sz w:val="30"/>
          <w:szCs w:val="30"/>
        </w:rPr>
      </w:pPr>
      <w:r>
        <w:rPr>
          <w:rFonts w:hint="eastAsia" w:cs="宋体"/>
          <w:color w:val="auto"/>
          <w:sz w:val="30"/>
          <w:szCs w:val="30"/>
        </w:rPr>
        <w:t>第一卷</w:t>
      </w:r>
    </w:p>
    <w:p>
      <w:pPr>
        <w:pStyle w:val="13"/>
        <w:jc w:val="center"/>
        <w:rPr>
          <w:rFonts w:cs="Times New Roman"/>
          <w:color w:val="auto"/>
          <w:sz w:val="30"/>
          <w:szCs w:val="30"/>
        </w:rPr>
      </w:pPr>
      <w:r>
        <w:rPr>
          <w:color w:val="auto"/>
          <w:kern w:val="0"/>
          <w:sz w:val="30"/>
          <w:szCs w:val="30"/>
        </w:rPr>
        <w:fldChar w:fldCharType="begin"/>
      </w:r>
      <w:r>
        <w:rPr>
          <w:color w:val="auto"/>
          <w:kern w:val="0"/>
          <w:sz w:val="30"/>
          <w:szCs w:val="30"/>
        </w:rPr>
        <w:instrText xml:space="preserve"> TOC \o "1-3" \h \z \u </w:instrText>
      </w:r>
      <w:r>
        <w:rPr>
          <w:color w:val="auto"/>
          <w:kern w:val="0"/>
          <w:sz w:val="30"/>
          <w:szCs w:val="30"/>
        </w:rPr>
        <w:fldChar w:fldCharType="separate"/>
      </w:r>
      <w:r>
        <w:rPr>
          <w:color w:val="auto"/>
        </w:rPr>
        <w:fldChar w:fldCharType="begin"/>
      </w:r>
      <w:r>
        <w:rPr>
          <w:color w:val="auto"/>
        </w:rPr>
        <w:instrText xml:space="preserve"> HYPERLINK \l "_Toc514059666" </w:instrText>
      </w:r>
      <w:r>
        <w:rPr>
          <w:color w:val="auto"/>
        </w:rPr>
        <w:fldChar w:fldCharType="separate"/>
      </w:r>
      <w:r>
        <w:rPr>
          <w:rStyle w:val="28"/>
          <w:rFonts w:hint="eastAsia" w:cs="宋体"/>
          <w:color w:val="auto"/>
          <w:sz w:val="30"/>
          <w:szCs w:val="30"/>
        </w:rPr>
        <w:t>第一章招标公告</w:t>
      </w:r>
      <w:r>
        <w:rPr>
          <w:rFonts w:cs="Times New Roman"/>
          <w:color w:val="auto"/>
          <w:sz w:val="30"/>
          <w:szCs w:val="30"/>
        </w:rPr>
        <w:tab/>
      </w:r>
      <w:r>
        <w:rPr>
          <w:color w:val="auto"/>
          <w:sz w:val="30"/>
          <w:szCs w:val="30"/>
        </w:rPr>
        <w:t>2</w:t>
      </w:r>
      <w:r>
        <w:rPr>
          <w:color w:val="auto"/>
          <w:sz w:val="30"/>
          <w:szCs w:val="30"/>
        </w:rPr>
        <w:fldChar w:fldCharType="end"/>
      </w:r>
    </w:p>
    <w:p>
      <w:pPr>
        <w:pStyle w:val="13"/>
        <w:jc w:val="center"/>
        <w:rPr>
          <w:rFonts w:cs="Times New Roman"/>
          <w:color w:val="auto"/>
          <w:sz w:val="30"/>
          <w:szCs w:val="30"/>
        </w:rPr>
      </w:pPr>
      <w:r>
        <w:rPr>
          <w:color w:val="auto"/>
        </w:rPr>
        <w:fldChar w:fldCharType="begin"/>
      </w:r>
      <w:r>
        <w:rPr>
          <w:color w:val="auto"/>
        </w:rPr>
        <w:instrText xml:space="preserve"> HYPERLINK \l "_Toc514059667" </w:instrText>
      </w:r>
      <w:r>
        <w:rPr>
          <w:color w:val="auto"/>
        </w:rPr>
        <w:fldChar w:fldCharType="separate"/>
      </w:r>
      <w:r>
        <w:rPr>
          <w:rStyle w:val="28"/>
          <w:rFonts w:hint="eastAsia" w:cs="宋体"/>
          <w:color w:val="auto"/>
          <w:sz w:val="30"/>
          <w:szCs w:val="30"/>
        </w:rPr>
        <w:t>第二章投标人须知</w:t>
      </w:r>
      <w:r>
        <w:rPr>
          <w:rFonts w:cs="Times New Roman"/>
          <w:color w:val="auto"/>
          <w:sz w:val="30"/>
          <w:szCs w:val="30"/>
        </w:rPr>
        <w:tab/>
      </w:r>
      <w:r>
        <w:rPr>
          <w:rFonts w:cs="Times New Roman"/>
          <w:color w:val="auto"/>
          <w:sz w:val="30"/>
          <w:szCs w:val="30"/>
        </w:rPr>
        <w:fldChar w:fldCharType="end"/>
      </w:r>
      <w:r>
        <w:rPr>
          <w:rFonts w:hint="eastAsia"/>
          <w:color w:val="auto"/>
          <w:sz w:val="30"/>
          <w:szCs w:val="30"/>
        </w:rPr>
        <w:t>6</w:t>
      </w:r>
    </w:p>
    <w:p>
      <w:pPr>
        <w:pStyle w:val="13"/>
        <w:jc w:val="center"/>
        <w:rPr>
          <w:rFonts w:cs="Times New Roman"/>
          <w:color w:val="auto"/>
          <w:sz w:val="30"/>
          <w:szCs w:val="30"/>
        </w:rPr>
      </w:pPr>
      <w:r>
        <w:rPr>
          <w:color w:val="auto"/>
        </w:rPr>
        <w:fldChar w:fldCharType="begin"/>
      </w:r>
      <w:r>
        <w:rPr>
          <w:color w:val="auto"/>
        </w:rPr>
        <w:instrText xml:space="preserve"> HYPERLINK \l "_Toc514059668" </w:instrText>
      </w:r>
      <w:r>
        <w:rPr>
          <w:color w:val="auto"/>
        </w:rPr>
        <w:fldChar w:fldCharType="separate"/>
      </w:r>
      <w:r>
        <w:rPr>
          <w:rStyle w:val="28"/>
          <w:rFonts w:hint="eastAsia" w:cs="宋体"/>
          <w:color w:val="auto"/>
          <w:sz w:val="30"/>
          <w:szCs w:val="30"/>
        </w:rPr>
        <w:t>第三章评标办法（综合评估法）</w:t>
      </w:r>
      <w:r>
        <w:rPr>
          <w:rFonts w:cs="Times New Roman"/>
          <w:color w:val="auto"/>
          <w:sz w:val="30"/>
          <w:szCs w:val="30"/>
        </w:rPr>
        <w:tab/>
      </w:r>
      <w:r>
        <w:rPr>
          <w:rFonts w:cs="Times New Roman"/>
          <w:color w:val="auto"/>
          <w:sz w:val="30"/>
          <w:szCs w:val="30"/>
        </w:rPr>
        <w:fldChar w:fldCharType="end"/>
      </w:r>
      <w:r>
        <w:rPr>
          <w:rFonts w:hint="eastAsia"/>
          <w:color w:val="auto"/>
          <w:sz w:val="30"/>
          <w:szCs w:val="30"/>
        </w:rPr>
        <w:t>32</w:t>
      </w:r>
    </w:p>
    <w:p>
      <w:pPr>
        <w:pStyle w:val="13"/>
        <w:jc w:val="center"/>
        <w:rPr>
          <w:rFonts w:cs="Times New Roman"/>
          <w:color w:val="auto"/>
          <w:sz w:val="30"/>
          <w:szCs w:val="30"/>
        </w:rPr>
      </w:pPr>
      <w:r>
        <w:rPr>
          <w:color w:val="auto"/>
        </w:rPr>
        <w:fldChar w:fldCharType="begin"/>
      </w:r>
      <w:r>
        <w:rPr>
          <w:color w:val="auto"/>
        </w:rPr>
        <w:instrText xml:space="preserve"> HYPERLINK \l "_Toc514059669" </w:instrText>
      </w:r>
      <w:r>
        <w:rPr>
          <w:color w:val="auto"/>
        </w:rPr>
        <w:fldChar w:fldCharType="separate"/>
      </w:r>
      <w:r>
        <w:rPr>
          <w:rStyle w:val="28"/>
          <w:rFonts w:hint="eastAsia" w:cs="宋体"/>
          <w:color w:val="auto"/>
          <w:sz w:val="30"/>
          <w:szCs w:val="30"/>
        </w:rPr>
        <w:t>第四章合同条款及格式</w:t>
      </w:r>
      <w:r>
        <w:rPr>
          <w:rFonts w:cs="Times New Roman"/>
          <w:color w:val="auto"/>
          <w:sz w:val="30"/>
          <w:szCs w:val="30"/>
        </w:rPr>
        <w:tab/>
      </w:r>
      <w:r>
        <w:rPr>
          <w:rFonts w:cs="Times New Roman"/>
          <w:color w:val="auto"/>
          <w:sz w:val="30"/>
          <w:szCs w:val="30"/>
        </w:rPr>
        <w:fldChar w:fldCharType="end"/>
      </w:r>
      <w:r>
        <w:rPr>
          <w:rFonts w:hint="eastAsia"/>
          <w:color w:val="auto"/>
          <w:sz w:val="30"/>
          <w:szCs w:val="30"/>
        </w:rPr>
        <w:t>42</w:t>
      </w:r>
    </w:p>
    <w:p>
      <w:pPr>
        <w:pStyle w:val="50"/>
        <w:spacing w:beforeLines="100" w:afterLines="100"/>
        <w:jc w:val="center"/>
        <w:rPr>
          <w:rFonts w:cs="Times New Roman"/>
          <w:color w:val="auto"/>
          <w:sz w:val="30"/>
          <w:szCs w:val="30"/>
        </w:rPr>
      </w:pPr>
      <w:r>
        <w:rPr>
          <w:rFonts w:hint="eastAsia" w:cs="宋体"/>
          <w:color w:val="auto"/>
          <w:sz w:val="30"/>
          <w:szCs w:val="30"/>
        </w:rPr>
        <w:t>第二卷</w:t>
      </w:r>
    </w:p>
    <w:p>
      <w:pPr>
        <w:pStyle w:val="13"/>
        <w:jc w:val="center"/>
        <w:rPr>
          <w:rFonts w:cs="Times New Roman"/>
          <w:color w:val="auto"/>
          <w:sz w:val="30"/>
          <w:szCs w:val="30"/>
        </w:rPr>
      </w:pPr>
      <w:r>
        <w:rPr>
          <w:color w:val="auto"/>
        </w:rPr>
        <w:fldChar w:fldCharType="begin"/>
      </w:r>
      <w:r>
        <w:rPr>
          <w:color w:val="auto"/>
        </w:rPr>
        <w:instrText xml:space="preserve"> HYPERLINK \l "_Toc514059670" </w:instrText>
      </w:r>
      <w:r>
        <w:rPr>
          <w:color w:val="auto"/>
        </w:rPr>
        <w:fldChar w:fldCharType="separate"/>
      </w:r>
      <w:r>
        <w:rPr>
          <w:rStyle w:val="28"/>
          <w:rFonts w:hint="eastAsia" w:cs="宋体"/>
          <w:color w:val="auto"/>
          <w:sz w:val="30"/>
          <w:szCs w:val="30"/>
        </w:rPr>
        <w:t>第五章发包人要求</w:t>
      </w:r>
      <w:r>
        <w:rPr>
          <w:rFonts w:cs="Times New Roman"/>
          <w:color w:val="auto"/>
          <w:sz w:val="30"/>
          <w:szCs w:val="30"/>
        </w:rPr>
        <w:tab/>
      </w:r>
      <w:r>
        <w:rPr>
          <w:rFonts w:cs="Times New Roman"/>
          <w:color w:val="auto"/>
          <w:sz w:val="30"/>
          <w:szCs w:val="30"/>
        </w:rPr>
        <w:fldChar w:fldCharType="end"/>
      </w:r>
      <w:r>
        <w:rPr>
          <w:rFonts w:hint="eastAsia"/>
          <w:color w:val="auto"/>
          <w:sz w:val="30"/>
          <w:szCs w:val="30"/>
        </w:rPr>
        <w:t>88</w:t>
      </w:r>
    </w:p>
    <w:p>
      <w:pPr>
        <w:pStyle w:val="50"/>
        <w:spacing w:beforeLines="100" w:afterLines="100"/>
        <w:jc w:val="center"/>
        <w:rPr>
          <w:rFonts w:cs="Times New Roman"/>
          <w:color w:val="auto"/>
          <w:sz w:val="30"/>
          <w:szCs w:val="30"/>
        </w:rPr>
      </w:pPr>
      <w:r>
        <w:rPr>
          <w:rFonts w:hint="eastAsia" w:cs="宋体"/>
          <w:color w:val="auto"/>
          <w:sz w:val="30"/>
          <w:szCs w:val="30"/>
        </w:rPr>
        <w:t>第三卷</w:t>
      </w:r>
    </w:p>
    <w:p>
      <w:pPr>
        <w:pStyle w:val="13"/>
        <w:jc w:val="center"/>
        <w:rPr>
          <w:rFonts w:cs="Times New Roman"/>
          <w:color w:val="auto"/>
          <w:sz w:val="30"/>
          <w:szCs w:val="30"/>
        </w:rPr>
      </w:pPr>
      <w:r>
        <w:rPr>
          <w:color w:val="auto"/>
        </w:rPr>
        <w:fldChar w:fldCharType="begin"/>
      </w:r>
      <w:r>
        <w:rPr>
          <w:color w:val="auto"/>
        </w:rPr>
        <w:instrText xml:space="preserve"> HYPERLINK \l "_Toc514059671" </w:instrText>
      </w:r>
      <w:r>
        <w:rPr>
          <w:color w:val="auto"/>
        </w:rPr>
        <w:fldChar w:fldCharType="separate"/>
      </w:r>
      <w:r>
        <w:rPr>
          <w:rStyle w:val="28"/>
          <w:rFonts w:hint="eastAsia" w:cs="宋体"/>
          <w:color w:val="auto"/>
          <w:sz w:val="30"/>
          <w:szCs w:val="30"/>
        </w:rPr>
        <w:t>第六章投标文件格式</w:t>
      </w:r>
      <w:r>
        <w:rPr>
          <w:rFonts w:cs="Times New Roman"/>
          <w:color w:val="auto"/>
          <w:sz w:val="30"/>
          <w:szCs w:val="30"/>
        </w:rPr>
        <w:tab/>
      </w:r>
      <w:r>
        <w:rPr>
          <w:rFonts w:cs="Times New Roman"/>
          <w:color w:val="auto"/>
          <w:sz w:val="30"/>
          <w:szCs w:val="30"/>
        </w:rPr>
        <w:fldChar w:fldCharType="end"/>
      </w:r>
      <w:r>
        <w:rPr>
          <w:rFonts w:hint="eastAsia"/>
          <w:color w:val="auto"/>
          <w:sz w:val="30"/>
          <w:szCs w:val="30"/>
        </w:rPr>
        <w:t>95</w:t>
      </w:r>
    </w:p>
    <w:p>
      <w:pPr>
        <w:autoSpaceDE w:val="0"/>
        <w:autoSpaceDN w:val="0"/>
        <w:adjustRightInd w:val="0"/>
        <w:spacing w:line="480" w:lineRule="auto"/>
        <w:jc w:val="center"/>
        <w:rPr>
          <w:rFonts w:ascii="黑体" w:eastAsia="黑体" w:cs="Times New Roman"/>
          <w:color w:val="auto"/>
          <w:kern w:val="0"/>
          <w:sz w:val="24"/>
          <w:szCs w:val="24"/>
        </w:rPr>
      </w:pPr>
      <w:r>
        <w:rPr>
          <w:color w:val="auto"/>
          <w:kern w:val="0"/>
          <w:sz w:val="30"/>
          <w:szCs w:val="30"/>
        </w:rPr>
        <w:fldChar w:fldCharType="end"/>
      </w:r>
    </w:p>
    <w:p>
      <w:pPr>
        <w:pStyle w:val="50"/>
        <w:jc w:val="center"/>
        <w:rPr>
          <w:rFonts w:ascii="黑体" w:eastAsia="黑体" w:cs="Times New Roman"/>
          <w:color w:val="auto"/>
          <w:sz w:val="28"/>
          <w:szCs w:val="28"/>
        </w:rPr>
      </w:pPr>
    </w:p>
    <w:p>
      <w:pPr>
        <w:autoSpaceDE w:val="0"/>
        <w:autoSpaceDN w:val="0"/>
        <w:adjustRightInd w:val="0"/>
        <w:jc w:val="left"/>
        <w:rPr>
          <w:rFonts w:cs="Times New Roman"/>
          <w:color w:val="auto"/>
          <w:kern w:val="0"/>
          <w:sz w:val="24"/>
          <w:szCs w:val="24"/>
        </w:rPr>
      </w:pPr>
    </w:p>
    <w:p>
      <w:pPr>
        <w:pStyle w:val="50"/>
        <w:jc w:val="center"/>
        <w:rPr>
          <w:rFonts w:cs="Times New Roman"/>
          <w:color w:val="auto"/>
        </w:rPr>
      </w:pPr>
    </w:p>
    <w:p>
      <w:pPr>
        <w:rPr>
          <w:rFonts w:cs="Times New Roman"/>
          <w:color w:val="auto"/>
        </w:rPr>
      </w:pPr>
    </w:p>
    <w:p>
      <w:pPr>
        <w:rPr>
          <w:rFonts w:cs="Times New Roman"/>
          <w:color w:val="auto"/>
        </w:rPr>
      </w:pPr>
    </w:p>
    <w:p>
      <w:pPr>
        <w:rPr>
          <w:rFonts w:cs="Times New Roman"/>
          <w:color w:val="auto"/>
        </w:rPr>
      </w:pPr>
    </w:p>
    <w:p>
      <w:pPr>
        <w:rPr>
          <w:rFonts w:cs="Times New Roman"/>
          <w:color w:val="auto"/>
        </w:rPr>
      </w:pPr>
    </w:p>
    <w:p>
      <w:pPr>
        <w:rPr>
          <w:rFonts w:cs="Times New Roman"/>
          <w:color w:val="auto"/>
        </w:rPr>
      </w:pPr>
    </w:p>
    <w:p>
      <w:pPr>
        <w:rPr>
          <w:rFonts w:cs="Times New Roman"/>
          <w:color w:val="auto"/>
        </w:rPr>
      </w:pPr>
    </w:p>
    <w:p>
      <w:pPr>
        <w:rPr>
          <w:rFonts w:cs="Times New Roman"/>
          <w:color w:val="auto"/>
        </w:rPr>
      </w:pPr>
    </w:p>
    <w:p>
      <w:pPr>
        <w:rPr>
          <w:rFonts w:cs="Times New Roman"/>
          <w:color w:val="auto"/>
        </w:rPr>
      </w:pPr>
    </w:p>
    <w:p>
      <w:pPr>
        <w:rPr>
          <w:rFonts w:cs="Times New Roman"/>
          <w:color w:val="auto"/>
        </w:rPr>
      </w:pPr>
    </w:p>
    <w:p>
      <w:pPr>
        <w:rPr>
          <w:rFonts w:cs="Times New Roman"/>
          <w:color w:val="auto"/>
        </w:rPr>
      </w:pPr>
    </w:p>
    <w:p>
      <w:pPr>
        <w:rPr>
          <w:rFonts w:cs="Times New Roman"/>
          <w:color w:val="auto"/>
        </w:rPr>
      </w:pPr>
    </w:p>
    <w:p>
      <w:pPr>
        <w:rPr>
          <w:rFonts w:cs="Times New Roman"/>
          <w:color w:val="auto"/>
        </w:rPr>
      </w:pPr>
    </w:p>
    <w:p>
      <w:pPr>
        <w:rPr>
          <w:rFonts w:cs="Times New Roman"/>
          <w:color w:val="auto"/>
        </w:rPr>
      </w:pPr>
    </w:p>
    <w:p>
      <w:pPr>
        <w:rPr>
          <w:rFonts w:cs="Times New Roman"/>
          <w:color w:val="auto"/>
        </w:rPr>
      </w:pPr>
    </w:p>
    <w:p>
      <w:pPr>
        <w:rPr>
          <w:rFonts w:cs="Times New Roman"/>
          <w:color w:val="auto"/>
        </w:rPr>
      </w:pPr>
    </w:p>
    <w:p>
      <w:pPr>
        <w:rPr>
          <w:rFonts w:cs="Times New Roman"/>
          <w:color w:val="auto"/>
        </w:rPr>
      </w:pPr>
    </w:p>
    <w:p>
      <w:pPr>
        <w:rPr>
          <w:rFonts w:cs="Times New Roman"/>
          <w:color w:val="auto"/>
        </w:rPr>
      </w:pPr>
    </w:p>
    <w:p>
      <w:pPr>
        <w:rPr>
          <w:rFonts w:cs="Times New Roman"/>
          <w:color w:val="auto"/>
        </w:rPr>
      </w:pPr>
    </w:p>
    <w:p>
      <w:pPr>
        <w:pStyle w:val="50"/>
        <w:jc w:val="center"/>
        <w:rPr>
          <w:rFonts w:cs="Times New Roman"/>
          <w:color w:val="auto"/>
        </w:rPr>
      </w:pPr>
    </w:p>
    <w:p>
      <w:pPr>
        <w:pStyle w:val="50"/>
        <w:jc w:val="center"/>
        <w:rPr>
          <w:rFonts w:cs="Times New Roman"/>
          <w:color w:val="auto"/>
        </w:rPr>
      </w:pPr>
    </w:p>
    <w:p>
      <w:pPr>
        <w:pStyle w:val="50"/>
        <w:jc w:val="center"/>
        <w:rPr>
          <w:rFonts w:cs="Times New Roman"/>
          <w:color w:val="auto"/>
        </w:rPr>
        <w:sectPr>
          <w:headerReference r:id="rId4" w:type="first"/>
          <w:headerReference r:id="rId3" w:type="default"/>
          <w:footnotePr>
            <w:numFmt w:val="decimalEnclosedCircle"/>
            <w:numRestart w:val="eachPage"/>
          </w:footnotePr>
          <w:pgSz w:w="11907" w:h="16840"/>
          <w:pgMar w:top="1440" w:right="1087" w:bottom="1440" w:left="1797" w:header="720" w:footer="720" w:gutter="0"/>
          <w:pgNumType w:start="0"/>
          <w:cols w:space="720" w:num="1"/>
          <w:titlePg/>
        </w:sectPr>
      </w:pPr>
    </w:p>
    <w:p>
      <w:pPr>
        <w:pStyle w:val="17"/>
        <w:rPr>
          <w:color w:val="auto"/>
        </w:rPr>
      </w:pPr>
    </w:p>
    <w:p>
      <w:pPr>
        <w:pStyle w:val="50"/>
        <w:jc w:val="center"/>
        <w:rPr>
          <w:rFonts w:cs="Times New Roman"/>
          <w:color w:val="auto"/>
        </w:rPr>
      </w:pPr>
    </w:p>
    <w:p>
      <w:pPr>
        <w:pStyle w:val="50"/>
        <w:jc w:val="center"/>
        <w:rPr>
          <w:rFonts w:cs="Times New Roman"/>
          <w:color w:val="auto"/>
        </w:rPr>
      </w:pPr>
    </w:p>
    <w:p>
      <w:pPr>
        <w:pStyle w:val="50"/>
        <w:jc w:val="center"/>
        <w:rPr>
          <w:rFonts w:cs="Times New Roman"/>
          <w:color w:val="auto"/>
        </w:rPr>
      </w:pPr>
    </w:p>
    <w:p>
      <w:pPr>
        <w:pStyle w:val="50"/>
        <w:jc w:val="center"/>
        <w:rPr>
          <w:rFonts w:cs="Times New Roman"/>
          <w:color w:val="auto"/>
        </w:rPr>
      </w:pPr>
    </w:p>
    <w:p>
      <w:pPr>
        <w:pStyle w:val="50"/>
        <w:jc w:val="center"/>
        <w:rPr>
          <w:rFonts w:cs="Times New Roman"/>
          <w:color w:val="auto"/>
        </w:rPr>
      </w:pPr>
    </w:p>
    <w:p>
      <w:pPr>
        <w:pStyle w:val="50"/>
        <w:jc w:val="center"/>
        <w:rPr>
          <w:rFonts w:cs="Times New Roman"/>
          <w:color w:val="auto"/>
        </w:rPr>
      </w:pPr>
    </w:p>
    <w:p>
      <w:pPr>
        <w:pStyle w:val="50"/>
        <w:jc w:val="center"/>
        <w:rPr>
          <w:rFonts w:cs="Times New Roman"/>
          <w:color w:val="auto"/>
        </w:rPr>
      </w:pPr>
    </w:p>
    <w:p>
      <w:pPr>
        <w:pStyle w:val="50"/>
        <w:jc w:val="center"/>
        <w:rPr>
          <w:rFonts w:cs="Times New Roman"/>
          <w:color w:val="auto"/>
        </w:rPr>
      </w:pPr>
    </w:p>
    <w:p>
      <w:pPr>
        <w:pStyle w:val="50"/>
        <w:jc w:val="center"/>
        <w:rPr>
          <w:rFonts w:cs="Times New Roman"/>
          <w:color w:val="auto"/>
        </w:rPr>
      </w:pPr>
    </w:p>
    <w:p>
      <w:pPr>
        <w:snapToGrid w:val="0"/>
        <w:jc w:val="center"/>
        <w:rPr>
          <w:rFonts w:ascii="黑体" w:hAnsi="黑体" w:eastAsia="黑体" w:cs="Times New Roman"/>
          <w:color w:val="auto"/>
          <w:sz w:val="28"/>
          <w:szCs w:val="28"/>
        </w:rPr>
      </w:pPr>
      <w:r>
        <w:rPr>
          <w:rFonts w:cs="Times New Roman"/>
          <w:color w:val="auto"/>
        </w:rPr>
        <w:tab/>
      </w:r>
      <w:r>
        <w:rPr>
          <w:rFonts w:hint="eastAsia" w:cs="宋体"/>
          <w:color w:val="auto"/>
          <w:sz w:val="56"/>
          <w:szCs w:val="56"/>
        </w:rPr>
        <w:t>第一卷</w:t>
      </w:r>
    </w:p>
    <w:p>
      <w:pPr>
        <w:pStyle w:val="50"/>
        <w:tabs>
          <w:tab w:val="left" w:pos="2385"/>
        </w:tabs>
        <w:jc w:val="both"/>
        <w:rPr>
          <w:rFonts w:cs="Times New Roman"/>
          <w:color w:val="auto"/>
        </w:rPr>
      </w:pPr>
    </w:p>
    <w:p>
      <w:pPr>
        <w:pStyle w:val="50"/>
        <w:tabs>
          <w:tab w:val="left" w:pos="2385"/>
        </w:tabs>
        <w:jc w:val="both"/>
        <w:rPr>
          <w:rFonts w:cs="Times New Roman"/>
          <w:color w:val="auto"/>
        </w:rPr>
      </w:pPr>
    </w:p>
    <w:p>
      <w:pPr>
        <w:pStyle w:val="50"/>
        <w:tabs>
          <w:tab w:val="left" w:pos="2385"/>
        </w:tabs>
        <w:jc w:val="both"/>
        <w:rPr>
          <w:rFonts w:cs="Times New Roman"/>
          <w:color w:val="auto"/>
        </w:rPr>
      </w:pPr>
    </w:p>
    <w:p>
      <w:pPr>
        <w:pStyle w:val="50"/>
        <w:tabs>
          <w:tab w:val="left" w:pos="2385"/>
        </w:tabs>
        <w:jc w:val="both"/>
        <w:rPr>
          <w:rFonts w:cs="Times New Roman"/>
          <w:color w:val="auto"/>
        </w:rPr>
      </w:pPr>
    </w:p>
    <w:p>
      <w:pPr>
        <w:pStyle w:val="50"/>
        <w:tabs>
          <w:tab w:val="left" w:pos="2385"/>
        </w:tabs>
        <w:jc w:val="both"/>
        <w:rPr>
          <w:rFonts w:cs="Times New Roman"/>
          <w:color w:val="auto"/>
        </w:rPr>
      </w:pPr>
    </w:p>
    <w:p>
      <w:pPr>
        <w:pStyle w:val="50"/>
        <w:tabs>
          <w:tab w:val="left" w:pos="2385"/>
        </w:tabs>
        <w:jc w:val="both"/>
        <w:rPr>
          <w:rFonts w:cs="Times New Roman"/>
          <w:color w:val="auto"/>
        </w:rPr>
      </w:pPr>
    </w:p>
    <w:p>
      <w:pPr>
        <w:pStyle w:val="50"/>
        <w:tabs>
          <w:tab w:val="left" w:pos="2385"/>
        </w:tabs>
        <w:jc w:val="both"/>
        <w:rPr>
          <w:rFonts w:cs="Times New Roman"/>
          <w:color w:val="auto"/>
        </w:rPr>
      </w:pPr>
    </w:p>
    <w:p>
      <w:pPr>
        <w:pStyle w:val="50"/>
        <w:tabs>
          <w:tab w:val="left" w:pos="2385"/>
        </w:tabs>
        <w:jc w:val="both"/>
        <w:rPr>
          <w:rFonts w:cs="Times New Roman"/>
          <w:color w:val="auto"/>
        </w:rPr>
      </w:pPr>
    </w:p>
    <w:p>
      <w:pPr>
        <w:pStyle w:val="50"/>
        <w:tabs>
          <w:tab w:val="left" w:pos="2385"/>
        </w:tabs>
        <w:jc w:val="both"/>
        <w:rPr>
          <w:rFonts w:cs="Times New Roman"/>
          <w:color w:val="auto"/>
        </w:rPr>
      </w:pPr>
    </w:p>
    <w:p>
      <w:pPr>
        <w:pStyle w:val="50"/>
        <w:tabs>
          <w:tab w:val="left" w:pos="2385"/>
        </w:tabs>
        <w:jc w:val="both"/>
        <w:rPr>
          <w:rFonts w:cs="Times New Roman"/>
          <w:color w:val="auto"/>
        </w:rPr>
      </w:pPr>
    </w:p>
    <w:p>
      <w:pPr>
        <w:pStyle w:val="50"/>
        <w:tabs>
          <w:tab w:val="left" w:pos="2385"/>
        </w:tabs>
        <w:jc w:val="both"/>
        <w:rPr>
          <w:rFonts w:cs="Times New Roman"/>
          <w:color w:val="auto"/>
        </w:rPr>
      </w:pPr>
    </w:p>
    <w:p>
      <w:pPr>
        <w:pStyle w:val="50"/>
        <w:tabs>
          <w:tab w:val="left" w:pos="2385"/>
        </w:tabs>
        <w:jc w:val="both"/>
        <w:rPr>
          <w:rFonts w:cs="Times New Roman"/>
          <w:color w:val="auto"/>
        </w:rPr>
      </w:pPr>
    </w:p>
    <w:p>
      <w:pPr>
        <w:pStyle w:val="50"/>
        <w:tabs>
          <w:tab w:val="left" w:pos="2385"/>
        </w:tabs>
        <w:jc w:val="both"/>
        <w:rPr>
          <w:rFonts w:cs="Times New Roman"/>
          <w:color w:val="auto"/>
        </w:rPr>
      </w:pPr>
    </w:p>
    <w:p>
      <w:pPr>
        <w:pStyle w:val="50"/>
        <w:tabs>
          <w:tab w:val="left" w:pos="2385"/>
        </w:tabs>
        <w:jc w:val="both"/>
        <w:rPr>
          <w:rFonts w:cs="Times New Roman"/>
          <w:color w:val="auto"/>
        </w:rPr>
      </w:pPr>
    </w:p>
    <w:p>
      <w:pPr>
        <w:pStyle w:val="50"/>
        <w:tabs>
          <w:tab w:val="left" w:pos="2385"/>
        </w:tabs>
        <w:jc w:val="both"/>
        <w:rPr>
          <w:rFonts w:cs="Times New Roman"/>
          <w:color w:val="auto"/>
        </w:rPr>
      </w:pPr>
    </w:p>
    <w:p>
      <w:pPr>
        <w:pStyle w:val="50"/>
        <w:tabs>
          <w:tab w:val="left" w:pos="2385"/>
        </w:tabs>
        <w:jc w:val="both"/>
        <w:rPr>
          <w:rFonts w:cs="Times New Roman"/>
          <w:color w:val="auto"/>
        </w:rPr>
      </w:pPr>
    </w:p>
    <w:p>
      <w:pPr>
        <w:pStyle w:val="50"/>
        <w:tabs>
          <w:tab w:val="left" w:pos="2385"/>
        </w:tabs>
        <w:jc w:val="both"/>
        <w:rPr>
          <w:rFonts w:cs="Times New Roman"/>
          <w:color w:val="auto"/>
        </w:rPr>
      </w:pPr>
    </w:p>
    <w:p>
      <w:pPr>
        <w:pStyle w:val="50"/>
        <w:tabs>
          <w:tab w:val="left" w:pos="2385"/>
        </w:tabs>
        <w:jc w:val="both"/>
        <w:rPr>
          <w:rFonts w:cs="Times New Roman"/>
          <w:color w:val="auto"/>
        </w:rPr>
      </w:pPr>
    </w:p>
    <w:p>
      <w:pPr>
        <w:pStyle w:val="50"/>
        <w:tabs>
          <w:tab w:val="left" w:pos="2385"/>
        </w:tabs>
        <w:jc w:val="both"/>
        <w:rPr>
          <w:rFonts w:cs="Times New Roman"/>
          <w:color w:val="auto"/>
        </w:rPr>
      </w:pPr>
    </w:p>
    <w:p>
      <w:pPr>
        <w:pStyle w:val="50"/>
        <w:tabs>
          <w:tab w:val="left" w:pos="2385"/>
        </w:tabs>
        <w:jc w:val="both"/>
        <w:rPr>
          <w:rFonts w:cs="Times New Roman"/>
          <w:color w:val="auto"/>
        </w:rPr>
      </w:pPr>
    </w:p>
    <w:p>
      <w:pPr>
        <w:pStyle w:val="50"/>
        <w:tabs>
          <w:tab w:val="left" w:pos="2385"/>
        </w:tabs>
        <w:jc w:val="both"/>
        <w:rPr>
          <w:rFonts w:cs="Times New Roman"/>
          <w:color w:val="auto"/>
        </w:rPr>
      </w:pPr>
    </w:p>
    <w:p>
      <w:pPr>
        <w:pStyle w:val="50"/>
        <w:tabs>
          <w:tab w:val="left" w:pos="2385"/>
        </w:tabs>
        <w:jc w:val="both"/>
        <w:rPr>
          <w:rFonts w:cs="Times New Roman"/>
          <w:color w:val="auto"/>
        </w:rPr>
      </w:pPr>
    </w:p>
    <w:p>
      <w:pPr>
        <w:pStyle w:val="50"/>
        <w:tabs>
          <w:tab w:val="left" w:pos="2385"/>
        </w:tabs>
        <w:jc w:val="both"/>
        <w:rPr>
          <w:rFonts w:cs="Times New Roman"/>
          <w:color w:val="auto"/>
        </w:rPr>
      </w:pPr>
    </w:p>
    <w:p>
      <w:pPr>
        <w:pStyle w:val="50"/>
        <w:tabs>
          <w:tab w:val="left" w:pos="2385"/>
        </w:tabs>
        <w:jc w:val="both"/>
        <w:rPr>
          <w:rFonts w:cs="Times New Roman"/>
          <w:color w:val="auto"/>
        </w:rPr>
      </w:pPr>
    </w:p>
    <w:p>
      <w:pPr>
        <w:pStyle w:val="50"/>
        <w:tabs>
          <w:tab w:val="left" w:pos="2385"/>
        </w:tabs>
        <w:jc w:val="both"/>
        <w:rPr>
          <w:rFonts w:cs="Times New Roman"/>
          <w:color w:val="auto"/>
        </w:rPr>
      </w:pPr>
    </w:p>
    <w:p>
      <w:pPr>
        <w:pStyle w:val="50"/>
        <w:tabs>
          <w:tab w:val="left" w:pos="2385"/>
        </w:tabs>
        <w:jc w:val="both"/>
        <w:rPr>
          <w:rFonts w:cs="Times New Roman"/>
          <w:color w:val="auto"/>
        </w:rPr>
      </w:pPr>
    </w:p>
    <w:p>
      <w:pPr>
        <w:pStyle w:val="50"/>
        <w:tabs>
          <w:tab w:val="left" w:pos="2385"/>
        </w:tabs>
        <w:jc w:val="both"/>
        <w:rPr>
          <w:rFonts w:cs="Times New Roman"/>
          <w:color w:val="auto"/>
        </w:rPr>
      </w:pPr>
    </w:p>
    <w:p>
      <w:pPr>
        <w:pStyle w:val="50"/>
        <w:tabs>
          <w:tab w:val="left" w:pos="2385"/>
        </w:tabs>
        <w:jc w:val="both"/>
        <w:rPr>
          <w:rFonts w:cs="Times New Roman"/>
          <w:color w:val="auto"/>
        </w:rPr>
      </w:pPr>
    </w:p>
    <w:p>
      <w:pPr>
        <w:pStyle w:val="50"/>
        <w:tabs>
          <w:tab w:val="left" w:pos="2385"/>
        </w:tabs>
        <w:jc w:val="both"/>
        <w:rPr>
          <w:rFonts w:cs="Times New Roman"/>
          <w:color w:val="auto"/>
        </w:rPr>
      </w:pPr>
    </w:p>
    <w:p>
      <w:pPr>
        <w:pStyle w:val="50"/>
        <w:tabs>
          <w:tab w:val="left" w:pos="2385"/>
        </w:tabs>
        <w:jc w:val="both"/>
        <w:rPr>
          <w:rFonts w:cs="Times New Roman"/>
          <w:color w:val="auto"/>
        </w:rPr>
      </w:pPr>
    </w:p>
    <w:p>
      <w:pPr>
        <w:pStyle w:val="50"/>
        <w:tabs>
          <w:tab w:val="left" w:pos="2385"/>
        </w:tabs>
        <w:jc w:val="both"/>
        <w:rPr>
          <w:rFonts w:cs="Times New Roman"/>
          <w:color w:val="auto"/>
        </w:rPr>
      </w:pPr>
    </w:p>
    <w:p>
      <w:pPr>
        <w:pStyle w:val="50"/>
        <w:tabs>
          <w:tab w:val="left" w:pos="2385"/>
        </w:tabs>
        <w:jc w:val="both"/>
        <w:rPr>
          <w:rFonts w:cs="Times New Roman"/>
          <w:color w:val="auto"/>
        </w:rPr>
      </w:pPr>
    </w:p>
    <w:p>
      <w:pPr>
        <w:pStyle w:val="50"/>
        <w:tabs>
          <w:tab w:val="left" w:pos="2385"/>
        </w:tabs>
        <w:jc w:val="both"/>
        <w:rPr>
          <w:rFonts w:cs="Times New Roman"/>
          <w:color w:val="auto"/>
        </w:rPr>
      </w:pPr>
    </w:p>
    <w:p>
      <w:pPr>
        <w:pStyle w:val="2"/>
        <w:spacing w:before="480" w:after="240"/>
        <w:rPr>
          <w:rFonts w:cs="Times New Roman"/>
          <w:color w:val="auto"/>
        </w:rPr>
      </w:pPr>
      <w:bookmarkStart w:id="0" w:name="_Toc514059666"/>
      <w:r>
        <w:rPr>
          <w:rFonts w:hint="eastAsia"/>
          <w:color w:val="auto"/>
        </w:rPr>
        <w:t>第一章招标公告</w:t>
      </w:r>
      <w:bookmarkEnd w:id="0"/>
    </w:p>
    <w:p>
      <w:pPr>
        <w:pStyle w:val="50"/>
        <w:spacing w:line="360" w:lineRule="auto"/>
        <w:jc w:val="center"/>
        <w:rPr>
          <w:rFonts w:cs="Times New Roman"/>
          <w:b/>
          <w:bCs/>
          <w:color w:val="auto"/>
          <w:sz w:val="30"/>
          <w:szCs w:val="30"/>
        </w:rPr>
      </w:pPr>
      <w:r>
        <w:rPr>
          <w:rFonts w:hint="eastAsia" w:cs="宋体"/>
          <w:b/>
          <w:bCs/>
          <w:color w:val="auto"/>
          <w:sz w:val="30"/>
          <w:szCs w:val="30"/>
          <w:lang w:eastAsia="zh-CN"/>
        </w:rPr>
        <w:t>天津建设世界一流南部集疏运配套（海景大道南延）项目勘察招标</w:t>
      </w:r>
      <w:r>
        <w:rPr>
          <w:rFonts w:hint="eastAsia" w:cs="宋体"/>
          <w:b/>
          <w:bCs/>
          <w:color w:val="auto"/>
          <w:sz w:val="30"/>
          <w:szCs w:val="30"/>
        </w:rPr>
        <w:t>公告</w:t>
      </w:r>
    </w:p>
    <w:p>
      <w:pPr>
        <w:spacing w:line="408" w:lineRule="auto"/>
        <w:rPr>
          <w:rFonts w:ascii="黑体" w:eastAsia="黑体"/>
          <w:b/>
          <w:bCs/>
          <w:color w:val="auto"/>
          <w:kern w:val="0"/>
          <w:sz w:val="24"/>
        </w:rPr>
      </w:pPr>
      <w:r>
        <w:rPr>
          <w:rFonts w:ascii="黑体" w:eastAsia="黑体" w:cs="黑体"/>
          <w:b/>
          <w:bCs/>
          <w:color w:val="auto"/>
          <w:kern w:val="0"/>
          <w:sz w:val="24"/>
        </w:rPr>
        <w:t xml:space="preserve">1. </w:t>
      </w:r>
      <w:r>
        <w:rPr>
          <w:rFonts w:hint="eastAsia" w:ascii="黑体" w:eastAsia="黑体" w:cs="黑体"/>
          <w:b/>
          <w:bCs/>
          <w:color w:val="auto"/>
          <w:kern w:val="0"/>
          <w:sz w:val="24"/>
        </w:rPr>
        <w:t>招标条件</w:t>
      </w:r>
    </w:p>
    <w:p>
      <w:pPr>
        <w:snapToGrid w:val="0"/>
        <w:spacing w:line="360" w:lineRule="auto"/>
        <w:ind w:firstLine="480" w:firstLineChars="200"/>
        <w:rPr>
          <w:color w:val="auto"/>
          <w:sz w:val="24"/>
        </w:rPr>
      </w:pPr>
      <w:r>
        <w:rPr>
          <w:rFonts w:hint="eastAsia" w:cs="宋体"/>
          <w:color w:val="auto"/>
          <w:sz w:val="24"/>
        </w:rPr>
        <w:t>本招标项目</w:t>
      </w:r>
      <w:r>
        <w:rPr>
          <w:rFonts w:hint="eastAsia"/>
          <w:color w:val="auto"/>
          <w:sz w:val="24"/>
          <w:szCs w:val="24"/>
          <w:u w:val="single"/>
        </w:rPr>
        <w:t>天津建设世界一流南部集</w:t>
      </w:r>
      <w:r>
        <w:rPr>
          <w:rFonts w:hint="eastAsia"/>
          <w:color w:val="auto"/>
          <w:sz w:val="24"/>
          <w:szCs w:val="24"/>
          <w:u w:val="single"/>
          <w:lang w:eastAsia="zh-CN"/>
        </w:rPr>
        <w:t>疏</w:t>
      </w:r>
      <w:r>
        <w:rPr>
          <w:rFonts w:hint="eastAsia"/>
          <w:color w:val="auto"/>
          <w:sz w:val="24"/>
          <w:szCs w:val="24"/>
          <w:u w:val="single"/>
        </w:rPr>
        <w:t>运配套（海景大道南延）项目</w:t>
      </w:r>
      <w:r>
        <w:rPr>
          <w:rFonts w:hint="eastAsia" w:cs="宋体"/>
          <w:color w:val="auto"/>
          <w:sz w:val="24"/>
        </w:rPr>
        <w:t>已由</w:t>
      </w:r>
      <w:r>
        <w:rPr>
          <w:rFonts w:hint="eastAsia" w:cs="宋体"/>
          <w:color w:val="auto"/>
          <w:sz w:val="24"/>
          <w:u w:val="single"/>
        </w:rPr>
        <w:t>天津市滨海新区行政审批局</w:t>
      </w:r>
      <w:r>
        <w:rPr>
          <w:rFonts w:hint="eastAsia" w:cs="宋体"/>
          <w:color w:val="auto"/>
          <w:sz w:val="24"/>
        </w:rPr>
        <w:t>以</w:t>
      </w:r>
      <w:r>
        <w:rPr>
          <w:rFonts w:hint="eastAsia" w:cs="宋体"/>
          <w:color w:val="auto"/>
          <w:sz w:val="24"/>
          <w:u w:val="single"/>
        </w:rPr>
        <w:t>《关于天津市天津建设世界一流南部集</w:t>
      </w:r>
      <w:r>
        <w:rPr>
          <w:rFonts w:hint="eastAsia" w:cs="宋体"/>
          <w:color w:val="auto"/>
          <w:sz w:val="24"/>
          <w:u w:val="single"/>
          <w:lang w:eastAsia="zh-CN"/>
        </w:rPr>
        <w:t>疏</w:t>
      </w:r>
      <w:r>
        <w:rPr>
          <w:rFonts w:hint="eastAsia" w:cs="宋体"/>
          <w:color w:val="auto"/>
          <w:sz w:val="24"/>
          <w:u w:val="single"/>
        </w:rPr>
        <w:t>运配套（海景大道南延）项目项目建议书的批复》津滨审批一室准[2022]88号</w:t>
      </w:r>
      <w:r>
        <w:rPr>
          <w:rFonts w:hint="eastAsia" w:cs="宋体"/>
          <w:color w:val="auto"/>
          <w:sz w:val="24"/>
        </w:rPr>
        <w:t>批准建设，项目业主为</w:t>
      </w:r>
      <w:r>
        <w:rPr>
          <w:rFonts w:hint="eastAsia" w:cs="宋体"/>
          <w:color w:val="auto"/>
          <w:sz w:val="24"/>
          <w:u w:val="single"/>
        </w:rPr>
        <w:t>天津市滨海新区城投建设发展有限公司</w:t>
      </w:r>
      <w:r>
        <w:rPr>
          <w:rFonts w:hint="eastAsia" w:cs="宋体"/>
          <w:color w:val="auto"/>
          <w:sz w:val="24"/>
        </w:rPr>
        <w:t>，建设资金来自</w:t>
      </w:r>
      <w:r>
        <w:rPr>
          <w:rFonts w:hint="eastAsia" w:cs="宋体"/>
          <w:color w:val="auto"/>
          <w:sz w:val="24"/>
          <w:u w:val="single"/>
        </w:rPr>
        <w:t>滨海新区财政</w:t>
      </w:r>
      <w:r>
        <w:rPr>
          <w:rFonts w:hint="eastAsia" w:cs="宋体"/>
          <w:color w:val="auto"/>
          <w:sz w:val="24"/>
        </w:rPr>
        <w:t>，出资比例为</w:t>
      </w:r>
      <w:r>
        <w:rPr>
          <w:color w:val="auto"/>
          <w:sz w:val="24"/>
          <w:u w:val="single"/>
        </w:rPr>
        <w:t>100%</w:t>
      </w:r>
      <w:r>
        <w:rPr>
          <w:rFonts w:hint="eastAsia" w:cs="宋体"/>
          <w:color w:val="auto"/>
          <w:sz w:val="24"/>
        </w:rPr>
        <w:t>，招标人为</w:t>
      </w:r>
      <w:r>
        <w:rPr>
          <w:rFonts w:hint="eastAsia" w:cs="宋体"/>
          <w:color w:val="auto"/>
          <w:sz w:val="24"/>
          <w:u w:val="single"/>
        </w:rPr>
        <w:t>天津市滨海新区城投建设发展有限公司</w:t>
      </w:r>
      <w:r>
        <w:rPr>
          <w:rFonts w:hint="eastAsia" w:cs="宋体"/>
          <w:color w:val="auto"/>
          <w:sz w:val="24"/>
        </w:rPr>
        <w:t>。项目已具备招标条件，现对该项目的勘察进行公开招标。</w:t>
      </w:r>
    </w:p>
    <w:p>
      <w:pPr>
        <w:spacing w:line="408" w:lineRule="auto"/>
        <w:rPr>
          <w:rFonts w:ascii="黑体" w:eastAsia="黑体" w:cs="黑体"/>
          <w:b/>
          <w:bCs/>
          <w:color w:val="auto"/>
          <w:kern w:val="0"/>
          <w:sz w:val="24"/>
        </w:rPr>
      </w:pPr>
      <w:r>
        <w:rPr>
          <w:rFonts w:ascii="黑体" w:eastAsia="黑体" w:cs="黑体"/>
          <w:b/>
          <w:bCs/>
          <w:color w:val="auto"/>
          <w:kern w:val="0"/>
          <w:sz w:val="24"/>
        </w:rPr>
        <w:t xml:space="preserve">2. </w:t>
      </w:r>
      <w:r>
        <w:rPr>
          <w:rFonts w:hint="eastAsia" w:ascii="黑体" w:eastAsia="黑体" w:cs="黑体"/>
          <w:b/>
          <w:bCs/>
          <w:color w:val="auto"/>
          <w:kern w:val="0"/>
          <w:sz w:val="24"/>
        </w:rPr>
        <w:t>项目概况与招标范围</w:t>
      </w:r>
    </w:p>
    <w:p>
      <w:pPr>
        <w:snapToGrid w:val="0"/>
        <w:spacing w:line="360" w:lineRule="auto"/>
        <w:ind w:firstLine="480" w:firstLineChars="200"/>
        <w:rPr>
          <w:color w:val="auto"/>
          <w:sz w:val="24"/>
        </w:rPr>
      </w:pPr>
      <w:r>
        <w:rPr>
          <w:color w:val="auto"/>
          <w:sz w:val="24"/>
        </w:rPr>
        <w:t xml:space="preserve">2.1 </w:t>
      </w:r>
      <w:r>
        <w:rPr>
          <w:rFonts w:hint="eastAsia" w:cs="宋体"/>
          <w:color w:val="auto"/>
          <w:sz w:val="24"/>
        </w:rPr>
        <w:t>项目概况：</w:t>
      </w:r>
    </w:p>
    <w:p>
      <w:pPr>
        <w:snapToGrid w:val="0"/>
        <w:spacing w:line="360" w:lineRule="auto"/>
        <w:ind w:firstLine="480" w:firstLineChars="200"/>
        <w:rPr>
          <w:rFonts w:cs="宋体"/>
          <w:color w:val="auto"/>
          <w:sz w:val="24"/>
        </w:rPr>
      </w:pPr>
      <w:r>
        <w:rPr>
          <w:rFonts w:hint="eastAsia" w:cs="宋体"/>
          <w:color w:val="auto"/>
          <w:sz w:val="24"/>
        </w:rPr>
        <w:t xml:space="preserve"> </w:t>
      </w:r>
      <w:r>
        <w:rPr>
          <w:rFonts w:hint="eastAsia" w:cs="宋体"/>
          <w:color w:val="auto"/>
          <w:sz w:val="24"/>
          <w:lang w:eastAsia="zh-CN"/>
        </w:rPr>
        <w:t>项目新建海景大道南延工程，自北穿港路，至创业路，双向四车道一级公路标准，长度约</w:t>
      </w:r>
      <w:r>
        <w:rPr>
          <w:rFonts w:hint="eastAsia" w:cs="宋体"/>
          <w:color w:val="auto"/>
          <w:sz w:val="24"/>
          <w:lang w:val="en-US" w:eastAsia="zh-CN"/>
        </w:rPr>
        <w:t>1.3公里。项目对滨海北路、北穿港路与海景大道交口进行拓宽，新建货运停车场一座。</w:t>
      </w:r>
      <w:r>
        <w:rPr>
          <w:rFonts w:hint="eastAsia" w:cs="宋体"/>
          <w:color w:val="auto"/>
          <w:sz w:val="24"/>
        </w:rPr>
        <w:t>项目总投资为</w:t>
      </w:r>
      <w:r>
        <w:rPr>
          <w:rFonts w:hint="eastAsia" w:cs="宋体"/>
          <w:color w:val="auto"/>
          <w:sz w:val="24"/>
          <w:lang w:val="en-US" w:eastAsia="zh-CN"/>
        </w:rPr>
        <w:t>34662.3万</w:t>
      </w:r>
      <w:r>
        <w:rPr>
          <w:rFonts w:hint="eastAsia" w:cs="宋体"/>
          <w:color w:val="auto"/>
          <w:sz w:val="24"/>
        </w:rPr>
        <w:t>元。</w:t>
      </w:r>
    </w:p>
    <w:p>
      <w:pPr>
        <w:snapToGrid w:val="0"/>
        <w:spacing w:line="360" w:lineRule="auto"/>
        <w:ind w:firstLine="480" w:firstLineChars="200"/>
        <w:rPr>
          <w:color w:val="auto"/>
          <w:sz w:val="24"/>
        </w:rPr>
      </w:pPr>
      <w:r>
        <w:rPr>
          <w:color w:val="auto"/>
          <w:sz w:val="24"/>
        </w:rPr>
        <w:t xml:space="preserve">2.2 </w:t>
      </w:r>
      <w:r>
        <w:rPr>
          <w:rFonts w:hint="eastAsia" w:cs="宋体"/>
          <w:color w:val="auto"/>
          <w:sz w:val="24"/>
        </w:rPr>
        <w:t>标段划分与招标范围：</w:t>
      </w:r>
    </w:p>
    <w:p>
      <w:pPr>
        <w:snapToGrid w:val="0"/>
        <w:spacing w:line="360" w:lineRule="auto"/>
        <w:ind w:firstLine="480" w:firstLineChars="200"/>
        <w:rPr>
          <w:rFonts w:cs="宋体"/>
          <w:color w:val="auto"/>
          <w:sz w:val="24"/>
        </w:rPr>
      </w:pPr>
      <w:r>
        <w:rPr>
          <w:rFonts w:hint="eastAsia" w:cs="宋体"/>
          <w:color w:val="auto"/>
          <w:sz w:val="24"/>
        </w:rPr>
        <w:t>本次招标为一个标段，主要包括路线设计、路基工程、路面工程、过路箱涵工程、桥梁工程、路线交叉、交通设施、照明工程、绿化工程及配套停车场建设。负责查明拟建场地地层分布特征及各层土物理力学性质，为设计提供所需的各类地质参数，编制岩土工程勘察报告并通过相关审查。</w:t>
      </w:r>
    </w:p>
    <w:p>
      <w:pPr>
        <w:snapToGrid w:val="0"/>
        <w:spacing w:line="360" w:lineRule="auto"/>
        <w:ind w:firstLine="480" w:firstLineChars="200"/>
        <w:rPr>
          <w:color w:val="auto"/>
          <w:kern w:val="0"/>
          <w:sz w:val="24"/>
        </w:rPr>
      </w:pPr>
      <w:r>
        <w:rPr>
          <w:color w:val="auto"/>
          <w:kern w:val="0"/>
          <w:sz w:val="24"/>
        </w:rPr>
        <w:t xml:space="preserve">2.3 </w:t>
      </w:r>
      <w:r>
        <w:rPr>
          <w:rFonts w:hint="eastAsia" w:cs="宋体"/>
          <w:color w:val="auto"/>
          <w:kern w:val="0"/>
          <w:sz w:val="24"/>
        </w:rPr>
        <w:t>勘察</w:t>
      </w:r>
      <w:r>
        <w:rPr>
          <w:rFonts w:hint="eastAsia" w:cs="宋体"/>
          <w:color w:val="auto"/>
          <w:sz w:val="24"/>
        </w:rPr>
        <w:t>服务</w:t>
      </w:r>
      <w:r>
        <w:rPr>
          <w:rFonts w:hint="eastAsia" w:cs="宋体"/>
          <w:color w:val="auto"/>
          <w:kern w:val="0"/>
          <w:sz w:val="24"/>
        </w:rPr>
        <w:t>期限</w:t>
      </w:r>
    </w:p>
    <w:p>
      <w:pPr>
        <w:snapToGrid w:val="0"/>
        <w:spacing w:line="360" w:lineRule="auto"/>
        <w:ind w:firstLine="480" w:firstLineChars="200"/>
        <w:rPr>
          <w:rFonts w:cs="宋体"/>
          <w:color w:val="auto"/>
          <w:sz w:val="24"/>
        </w:rPr>
      </w:pPr>
      <w:r>
        <w:rPr>
          <w:rFonts w:hint="eastAsia" w:cs="宋体"/>
          <w:color w:val="auto"/>
          <w:sz w:val="24"/>
        </w:rPr>
        <w:t>（</w:t>
      </w:r>
      <w:r>
        <w:rPr>
          <w:rFonts w:cs="宋体"/>
          <w:color w:val="auto"/>
          <w:sz w:val="24"/>
        </w:rPr>
        <w:t>1）计划勘察周期</w:t>
      </w:r>
    </w:p>
    <w:p>
      <w:pPr>
        <w:pStyle w:val="60"/>
        <w:shd w:val="clear" w:color="auto" w:fill="auto"/>
        <w:tabs>
          <w:tab w:val="left" w:leader="underscore" w:pos="1576"/>
        </w:tabs>
        <w:spacing w:before="0" w:after="0" w:line="360" w:lineRule="auto"/>
        <w:ind w:left="520" w:firstLine="0"/>
        <w:jc w:val="both"/>
        <w:rPr>
          <w:rFonts w:ascii="宋体" w:hAnsi="宋体" w:eastAsia="宋体" w:cs="宋体"/>
          <w:color w:val="auto"/>
        </w:rPr>
      </w:pPr>
      <w:r>
        <w:rPr>
          <w:rFonts w:hint="eastAsia" w:ascii="Calibri" w:hAnsi="Calibri" w:eastAsia="宋体" w:cs="宋体"/>
          <w:color w:val="auto"/>
          <w:sz w:val="24"/>
          <w:szCs w:val="21"/>
        </w:rPr>
        <w:t>（1）合同签订后30天内，通过初勘提交初勘报告送审稿；（2）初步设计文件批复后60天内，通过详勘提交详勘报告送审稿；（3）根据咨询单位、发包人和上级主管部门审查意见，对勘察报告提交勘察报告最终稿；（4）施工现场配合服务：从项目开工至项目竣工验收。</w:t>
      </w:r>
    </w:p>
    <w:p>
      <w:pPr>
        <w:spacing w:line="408" w:lineRule="auto"/>
        <w:ind w:firstLine="482" w:firstLineChars="200"/>
        <w:rPr>
          <w:rFonts w:ascii="黑体" w:eastAsia="黑体"/>
          <w:b/>
          <w:bCs/>
          <w:color w:val="auto"/>
          <w:kern w:val="0"/>
          <w:sz w:val="24"/>
        </w:rPr>
      </w:pPr>
      <w:r>
        <w:rPr>
          <w:rFonts w:ascii="黑体" w:eastAsia="黑体" w:cs="黑体"/>
          <w:b/>
          <w:bCs/>
          <w:color w:val="auto"/>
          <w:kern w:val="0"/>
          <w:sz w:val="24"/>
        </w:rPr>
        <w:t xml:space="preserve">3. </w:t>
      </w:r>
      <w:r>
        <w:rPr>
          <w:rFonts w:hint="eastAsia" w:ascii="黑体" w:eastAsia="黑体" w:cs="黑体"/>
          <w:b/>
          <w:bCs/>
          <w:color w:val="auto"/>
          <w:kern w:val="0"/>
          <w:sz w:val="24"/>
        </w:rPr>
        <w:t>投标人资格要求</w:t>
      </w:r>
    </w:p>
    <w:p>
      <w:pPr>
        <w:adjustRightInd w:val="0"/>
        <w:snapToGrid w:val="0"/>
        <w:spacing w:line="360" w:lineRule="auto"/>
        <w:ind w:firstLine="480" w:firstLineChars="200"/>
        <w:rPr>
          <w:color w:val="auto"/>
          <w:kern w:val="0"/>
          <w:sz w:val="24"/>
        </w:rPr>
      </w:pPr>
      <w:r>
        <w:rPr>
          <w:color w:val="auto"/>
          <w:kern w:val="0"/>
          <w:sz w:val="24"/>
        </w:rPr>
        <w:t>3.1</w:t>
      </w:r>
      <w:r>
        <w:rPr>
          <w:rFonts w:hint="eastAsia" w:cs="宋体"/>
          <w:color w:val="auto"/>
          <w:kern w:val="0"/>
          <w:sz w:val="24"/>
        </w:rPr>
        <w:t>本次招标资质要求投标人须</w:t>
      </w:r>
      <w:r>
        <w:rPr>
          <w:rFonts w:hint="eastAsia" w:cs="宋体"/>
          <w:color w:val="auto"/>
          <w:kern w:val="0"/>
          <w:sz w:val="24"/>
          <w:u w:val="single"/>
        </w:rPr>
        <w:t>具备以下资质之一：</w:t>
      </w:r>
      <w:r>
        <w:rPr>
          <w:color w:val="auto"/>
          <w:kern w:val="0"/>
          <w:sz w:val="24"/>
          <w:u w:val="single"/>
        </w:rPr>
        <w:t>1</w:t>
      </w:r>
      <w:r>
        <w:rPr>
          <w:rFonts w:hint="eastAsia" w:cs="宋体"/>
          <w:color w:val="auto"/>
          <w:kern w:val="0"/>
          <w:sz w:val="24"/>
          <w:u w:val="single"/>
        </w:rPr>
        <w:t>、建设行政主管部门核发的工程勘察综合类甲级资质；2、工程勘察专业（岩土工程）甲级资质和工程勘察专业（水文地质）甲级资质</w:t>
      </w:r>
      <w:r>
        <w:rPr>
          <w:rFonts w:hint="eastAsia" w:cs="宋体"/>
          <w:color w:val="auto"/>
          <w:kern w:val="0"/>
          <w:sz w:val="24"/>
        </w:rPr>
        <w:t>，近五年内（</w:t>
      </w:r>
      <w:r>
        <w:rPr>
          <w:rFonts w:hint="eastAsia"/>
          <w:color w:val="auto"/>
          <w:kern w:val="0"/>
          <w:sz w:val="24"/>
        </w:rPr>
        <w:t>2017</w:t>
      </w:r>
      <w:r>
        <w:rPr>
          <w:rFonts w:hint="eastAsia" w:cs="宋体"/>
          <w:color w:val="auto"/>
          <w:kern w:val="0"/>
          <w:sz w:val="24"/>
        </w:rPr>
        <w:t>年</w:t>
      </w:r>
      <w:r>
        <w:rPr>
          <w:rFonts w:hint="eastAsia"/>
          <w:color w:val="auto"/>
          <w:kern w:val="0"/>
          <w:sz w:val="24"/>
        </w:rPr>
        <w:t>1</w:t>
      </w:r>
      <w:r>
        <w:rPr>
          <w:rFonts w:hint="eastAsia" w:cs="宋体"/>
          <w:color w:val="auto"/>
          <w:kern w:val="0"/>
          <w:sz w:val="24"/>
        </w:rPr>
        <w:t>月</w:t>
      </w:r>
      <w:r>
        <w:rPr>
          <w:color w:val="auto"/>
          <w:kern w:val="0"/>
          <w:sz w:val="24"/>
        </w:rPr>
        <w:t>1</w:t>
      </w:r>
      <w:r>
        <w:rPr>
          <w:rFonts w:hint="eastAsia" w:cs="宋体"/>
          <w:color w:val="auto"/>
          <w:kern w:val="0"/>
          <w:sz w:val="24"/>
        </w:rPr>
        <w:t>日至投标截止之日，勘察业绩以签订合同协议书为准）至少完成一项一级或以上公路工程的勘察业绩，并在人员组成结构等方面具有相应的勘察能力。</w:t>
      </w:r>
    </w:p>
    <w:p>
      <w:pPr>
        <w:spacing w:line="408" w:lineRule="auto"/>
        <w:ind w:firstLine="480" w:firstLineChars="200"/>
        <w:rPr>
          <w:color w:val="auto"/>
          <w:kern w:val="0"/>
          <w:sz w:val="24"/>
        </w:rPr>
      </w:pPr>
      <w:r>
        <w:rPr>
          <w:color w:val="auto"/>
          <w:kern w:val="0"/>
          <w:sz w:val="24"/>
        </w:rPr>
        <w:t xml:space="preserve">3.2 </w:t>
      </w:r>
      <w:r>
        <w:rPr>
          <w:rFonts w:hint="eastAsia" w:cs="宋体"/>
          <w:color w:val="auto"/>
          <w:kern w:val="0"/>
          <w:sz w:val="24"/>
        </w:rPr>
        <w:t>本次招标</w:t>
      </w:r>
      <w:r>
        <w:rPr>
          <w:rFonts w:hint="eastAsia"/>
          <w:color w:val="auto"/>
          <w:kern w:val="0"/>
          <w:sz w:val="24"/>
          <w:u w:val="single"/>
        </w:rPr>
        <w:t>不</w:t>
      </w:r>
      <w:r>
        <w:rPr>
          <w:rFonts w:hint="eastAsia" w:cs="宋体"/>
          <w:color w:val="auto"/>
          <w:kern w:val="0"/>
          <w:sz w:val="24"/>
          <w:u w:val="single"/>
        </w:rPr>
        <w:t>接受</w:t>
      </w:r>
      <w:r>
        <w:rPr>
          <w:rFonts w:hint="eastAsia" w:cs="宋体"/>
          <w:color w:val="auto"/>
          <w:kern w:val="0"/>
          <w:sz w:val="24"/>
        </w:rPr>
        <w:t>联合体投标。</w:t>
      </w:r>
      <w:r>
        <w:rPr>
          <w:rFonts w:hint="eastAsia" w:ascii="宋体" w:hAnsi="宋体" w:cs="宋体"/>
          <w:color w:val="auto"/>
          <w:kern w:val="0"/>
          <w:sz w:val="24"/>
        </w:rPr>
        <w:t>联合体投标的，应满足下列要求：</w:t>
      </w:r>
    </w:p>
    <w:p>
      <w:pPr>
        <w:spacing w:line="360" w:lineRule="auto"/>
        <w:ind w:firstLine="480" w:firstLineChars="200"/>
        <w:rPr>
          <w:rFonts w:ascii="宋体"/>
          <w:color w:val="auto"/>
          <w:kern w:val="0"/>
          <w:sz w:val="24"/>
        </w:rPr>
      </w:pPr>
      <w:r>
        <w:rPr>
          <w:rFonts w:hint="eastAsia" w:ascii="宋体" w:hAnsi="宋体" w:cs="宋体"/>
          <w:color w:val="auto"/>
          <w:kern w:val="0"/>
          <w:sz w:val="24"/>
        </w:rPr>
        <w:t>（</w:t>
      </w:r>
      <w:r>
        <w:rPr>
          <w:rFonts w:ascii="宋体" w:hAnsi="宋体" w:cs="宋体"/>
          <w:color w:val="auto"/>
          <w:kern w:val="0"/>
          <w:sz w:val="24"/>
        </w:rPr>
        <w:t>1</w:t>
      </w:r>
      <w:r>
        <w:rPr>
          <w:rFonts w:hint="eastAsia" w:ascii="宋体" w:hAnsi="宋体" w:cs="宋体"/>
          <w:color w:val="auto"/>
          <w:kern w:val="0"/>
          <w:sz w:val="24"/>
        </w:rPr>
        <w:t>）联合体各方均应具有承担招标项目必备的条件如相应的人力、物力、资金。</w:t>
      </w:r>
    </w:p>
    <w:p>
      <w:pPr>
        <w:spacing w:line="360" w:lineRule="auto"/>
        <w:ind w:firstLine="480" w:firstLineChars="200"/>
        <w:rPr>
          <w:rFonts w:ascii="宋体"/>
          <w:color w:val="auto"/>
          <w:kern w:val="0"/>
          <w:sz w:val="24"/>
        </w:rPr>
      </w:pPr>
      <w:r>
        <w:rPr>
          <w:rFonts w:hint="eastAsia" w:ascii="宋体" w:hAnsi="宋体" w:cs="宋体"/>
          <w:color w:val="auto"/>
          <w:kern w:val="0"/>
          <w:sz w:val="24"/>
        </w:rPr>
        <w:t>（</w:t>
      </w:r>
      <w:r>
        <w:rPr>
          <w:rFonts w:ascii="宋体" w:hAnsi="宋体" w:cs="宋体"/>
          <w:color w:val="auto"/>
          <w:kern w:val="0"/>
          <w:sz w:val="24"/>
        </w:rPr>
        <w:t>2</w:t>
      </w:r>
      <w:r>
        <w:rPr>
          <w:rFonts w:hint="eastAsia" w:ascii="宋体" w:hAnsi="宋体" w:cs="宋体"/>
          <w:color w:val="auto"/>
          <w:kern w:val="0"/>
          <w:sz w:val="24"/>
        </w:rPr>
        <w:t>）具备招标要求的资质等级。同一专业的单位组成的联合体，应当按照资质等级较低的单位确定联合体的资质等级。</w:t>
      </w:r>
    </w:p>
    <w:p>
      <w:pPr>
        <w:spacing w:line="360" w:lineRule="auto"/>
        <w:ind w:firstLine="480" w:firstLineChars="200"/>
        <w:rPr>
          <w:rFonts w:ascii="宋体"/>
          <w:color w:val="auto"/>
          <w:kern w:val="0"/>
          <w:sz w:val="24"/>
        </w:rPr>
      </w:pPr>
      <w:r>
        <w:rPr>
          <w:rFonts w:hint="eastAsia" w:ascii="宋体" w:hAnsi="宋体" w:cs="宋体"/>
          <w:color w:val="auto"/>
          <w:kern w:val="0"/>
          <w:sz w:val="24"/>
        </w:rPr>
        <w:t>（</w:t>
      </w:r>
      <w:r>
        <w:rPr>
          <w:rFonts w:ascii="宋体" w:hAnsi="宋体" w:cs="宋体"/>
          <w:color w:val="auto"/>
          <w:kern w:val="0"/>
          <w:sz w:val="24"/>
        </w:rPr>
        <w:t>3</w:t>
      </w:r>
      <w:r>
        <w:rPr>
          <w:rFonts w:hint="eastAsia" w:ascii="宋体" w:hAnsi="宋体" w:cs="宋体"/>
          <w:color w:val="auto"/>
          <w:kern w:val="0"/>
          <w:sz w:val="24"/>
        </w:rPr>
        <w:t>）联合体各方不得再单独以自己名义，或者参加另外的联合体投同一个标。</w:t>
      </w:r>
    </w:p>
    <w:p>
      <w:pPr>
        <w:spacing w:line="360" w:lineRule="auto"/>
        <w:ind w:firstLine="480" w:firstLineChars="200"/>
        <w:rPr>
          <w:rFonts w:ascii="宋体"/>
          <w:color w:val="auto"/>
          <w:kern w:val="0"/>
          <w:sz w:val="24"/>
        </w:rPr>
      </w:pPr>
      <w:r>
        <w:rPr>
          <w:rFonts w:hint="eastAsia" w:ascii="宋体" w:hAnsi="宋体" w:cs="宋体"/>
          <w:color w:val="auto"/>
          <w:kern w:val="0"/>
          <w:sz w:val="24"/>
        </w:rPr>
        <w:t>（</w:t>
      </w:r>
      <w:r>
        <w:rPr>
          <w:rFonts w:ascii="宋体" w:hAnsi="宋体" w:cs="宋体"/>
          <w:color w:val="auto"/>
          <w:kern w:val="0"/>
          <w:sz w:val="24"/>
        </w:rPr>
        <w:t>4</w:t>
      </w:r>
      <w:r>
        <w:rPr>
          <w:rFonts w:hint="eastAsia" w:ascii="宋体" w:hAnsi="宋体" w:cs="宋体"/>
          <w:color w:val="auto"/>
          <w:kern w:val="0"/>
          <w:sz w:val="24"/>
        </w:rPr>
        <w:t>）联合体成员各方应当签订共同投标协议，明确联合体主办人和成员各方拟承担的工作和责任，并将共同投标协议装订在投标文件中。</w:t>
      </w:r>
    </w:p>
    <w:p>
      <w:pPr>
        <w:spacing w:line="360" w:lineRule="auto"/>
        <w:ind w:firstLine="480" w:firstLineChars="200"/>
        <w:rPr>
          <w:rFonts w:ascii="宋体"/>
          <w:color w:val="auto"/>
          <w:kern w:val="0"/>
          <w:sz w:val="24"/>
        </w:rPr>
      </w:pPr>
      <w:r>
        <w:rPr>
          <w:rFonts w:hint="eastAsia" w:ascii="宋体" w:hAnsi="宋体" w:cs="宋体"/>
          <w:color w:val="auto"/>
          <w:kern w:val="0"/>
          <w:sz w:val="24"/>
        </w:rPr>
        <w:t>（</w:t>
      </w:r>
      <w:r>
        <w:rPr>
          <w:rFonts w:ascii="宋体" w:hAnsi="宋体" w:cs="宋体"/>
          <w:color w:val="auto"/>
          <w:kern w:val="0"/>
          <w:sz w:val="24"/>
        </w:rPr>
        <w:t>5</w:t>
      </w:r>
      <w:r>
        <w:rPr>
          <w:rFonts w:hint="eastAsia" w:ascii="宋体" w:hAnsi="宋体" w:cs="宋体"/>
          <w:color w:val="auto"/>
          <w:kern w:val="0"/>
          <w:sz w:val="24"/>
        </w:rPr>
        <w:t>）联合体各方均未再以自己名义单独或参加其他联合体在同一标段中投标；独立参与投标的，投标人未同时参加联合体在同一标段中投标；</w:t>
      </w:r>
    </w:p>
    <w:p>
      <w:pPr>
        <w:spacing w:line="408" w:lineRule="auto"/>
        <w:ind w:firstLine="480" w:firstLineChars="200"/>
        <w:rPr>
          <w:color w:val="auto"/>
          <w:sz w:val="24"/>
        </w:rPr>
      </w:pPr>
      <w:r>
        <w:rPr>
          <w:color w:val="auto"/>
          <w:kern w:val="0"/>
          <w:sz w:val="24"/>
        </w:rPr>
        <w:t>3.</w:t>
      </w:r>
      <w:r>
        <w:rPr>
          <w:rFonts w:hint="eastAsia"/>
          <w:color w:val="auto"/>
          <w:kern w:val="0"/>
          <w:sz w:val="24"/>
        </w:rPr>
        <w:t xml:space="preserve">3 </w:t>
      </w:r>
      <w:r>
        <w:rPr>
          <w:rFonts w:hint="eastAsia" w:cs="宋体"/>
          <w:color w:val="auto"/>
          <w:sz w:val="24"/>
        </w:rPr>
        <w:t>与招标人存在利害关系可能影响招标公正性的单位，不得参加投标。单位负责人为同一人或者存在控股、管理关系的不同单位，不得参加同一标段投标，否则，相关投标均无效。</w:t>
      </w:r>
    </w:p>
    <w:p>
      <w:pPr>
        <w:spacing w:line="408" w:lineRule="auto"/>
        <w:ind w:firstLine="480" w:firstLineChars="200"/>
        <w:rPr>
          <w:color w:val="auto"/>
          <w:sz w:val="24"/>
        </w:rPr>
      </w:pPr>
      <w:r>
        <w:rPr>
          <w:color w:val="auto"/>
          <w:kern w:val="0"/>
          <w:sz w:val="24"/>
        </w:rPr>
        <w:t>3.</w:t>
      </w:r>
      <w:r>
        <w:rPr>
          <w:rFonts w:hint="eastAsia"/>
          <w:color w:val="auto"/>
          <w:kern w:val="0"/>
          <w:sz w:val="24"/>
        </w:rPr>
        <w:t>4</w:t>
      </w:r>
      <w:r>
        <w:rPr>
          <w:rFonts w:hint="eastAsia" w:cs="宋体"/>
          <w:color w:val="auto"/>
          <w:sz w:val="24"/>
        </w:rPr>
        <w:t>在“信用中国”网站（</w:t>
      </w:r>
      <w:r>
        <w:rPr>
          <w:color w:val="auto"/>
          <w:sz w:val="24"/>
        </w:rPr>
        <w:t>http</w:t>
      </w:r>
      <w:r>
        <w:rPr>
          <w:rFonts w:hint="eastAsia" w:cs="宋体"/>
          <w:color w:val="auto"/>
          <w:sz w:val="24"/>
        </w:rPr>
        <w:t>：</w:t>
      </w:r>
      <w:r>
        <w:rPr>
          <w:color w:val="auto"/>
          <w:sz w:val="24"/>
        </w:rPr>
        <w:t>//www.creditchina.gov.cn/</w:t>
      </w:r>
      <w:r>
        <w:rPr>
          <w:rFonts w:hint="eastAsia" w:cs="宋体"/>
          <w:color w:val="auto"/>
          <w:sz w:val="24"/>
        </w:rPr>
        <w:t>）中被列入失信被执行人名单的投标人，不得参加投标。</w:t>
      </w:r>
    </w:p>
    <w:p>
      <w:pPr>
        <w:snapToGrid w:val="0"/>
        <w:spacing w:line="408" w:lineRule="auto"/>
        <w:rPr>
          <w:rFonts w:ascii="黑体" w:eastAsia="黑体"/>
          <w:b/>
          <w:bCs/>
          <w:color w:val="auto"/>
          <w:sz w:val="24"/>
        </w:rPr>
      </w:pPr>
      <w:r>
        <w:rPr>
          <w:rFonts w:ascii="黑体" w:eastAsia="黑体" w:cs="黑体"/>
          <w:b/>
          <w:bCs/>
          <w:color w:val="auto"/>
          <w:sz w:val="24"/>
        </w:rPr>
        <w:t>4.</w:t>
      </w:r>
      <w:r>
        <w:rPr>
          <w:rFonts w:hint="eastAsia" w:ascii="黑体" w:eastAsia="黑体" w:cs="黑体"/>
          <w:b/>
          <w:bCs/>
          <w:color w:val="auto"/>
          <w:sz w:val="24"/>
        </w:rPr>
        <w:t>技术成果经济补偿</w:t>
      </w:r>
    </w:p>
    <w:p>
      <w:pPr>
        <w:snapToGrid w:val="0"/>
        <w:spacing w:line="408" w:lineRule="auto"/>
        <w:ind w:firstLine="480"/>
        <w:rPr>
          <w:color w:val="auto"/>
          <w:sz w:val="24"/>
        </w:rPr>
      </w:pPr>
      <w:r>
        <w:rPr>
          <w:rFonts w:hint="eastAsia" w:cs="宋体"/>
          <w:color w:val="auto"/>
          <w:sz w:val="24"/>
        </w:rPr>
        <w:t>本次招标对未中标人投标文件中的技术成果</w:t>
      </w:r>
      <w:r>
        <w:rPr>
          <w:rFonts w:hint="eastAsia" w:cs="宋体"/>
          <w:color w:val="auto"/>
          <w:sz w:val="24"/>
          <w:u w:val="single"/>
        </w:rPr>
        <w:t>不给予</w:t>
      </w:r>
      <w:r>
        <w:rPr>
          <w:rFonts w:hint="eastAsia" w:cs="宋体"/>
          <w:color w:val="auto"/>
          <w:sz w:val="24"/>
        </w:rPr>
        <w:t>经济补偿。</w:t>
      </w:r>
    </w:p>
    <w:p>
      <w:pPr>
        <w:spacing w:line="408" w:lineRule="auto"/>
        <w:rPr>
          <w:rFonts w:ascii="黑体" w:eastAsia="黑体" w:cs="黑体"/>
          <w:b/>
          <w:bCs/>
          <w:color w:val="auto"/>
          <w:kern w:val="0"/>
          <w:sz w:val="24"/>
        </w:rPr>
      </w:pPr>
      <w:r>
        <w:rPr>
          <w:rFonts w:ascii="黑体" w:eastAsia="黑体" w:cs="黑体"/>
          <w:b/>
          <w:bCs/>
          <w:color w:val="auto"/>
          <w:kern w:val="0"/>
          <w:sz w:val="24"/>
        </w:rPr>
        <w:t xml:space="preserve">5. </w:t>
      </w:r>
      <w:r>
        <w:rPr>
          <w:rFonts w:hint="eastAsia" w:ascii="黑体" w:eastAsia="黑体" w:cs="黑体"/>
          <w:b/>
          <w:bCs/>
          <w:color w:val="auto"/>
          <w:kern w:val="0"/>
          <w:sz w:val="24"/>
        </w:rPr>
        <w:t>招标文件的获取</w:t>
      </w:r>
    </w:p>
    <w:p>
      <w:pPr>
        <w:snapToGrid w:val="0"/>
        <w:spacing w:line="360" w:lineRule="auto"/>
        <w:ind w:firstLine="480"/>
        <w:rPr>
          <w:color w:val="auto"/>
          <w:kern w:val="0"/>
          <w:sz w:val="24"/>
        </w:rPr>
      </w:pPr>
      <w:r>
        <w:rPr>
          <w:color w:val="auto"/>
          <w:kern w:val="0"/>
          <w:sz w:val="24"/>
        </w:rPr>
        <w:t xml:space="preserve">5.1 </w:t>
      </w:r>
      <w:r>
        <w:rPr>
          <w:rFonts w:hint="eastAsia" w:cs="宋体"/>
          <w:color w:val="auto"/>
          <w:kern w:val="0"/>
          <w:sz w:val="24"/>
        </w:rPr>
        <w:t>凡有意参加投标者，请于</w:t>
      </w:r>
      <w:r>
        <w:rPr>
          <w:rFonts w:hint="eastAsia"/>
          <w:color w:val="auto"/>
          <w:kern w:val="0"/>
          <w:sz w:val="24"/>
          <w:u w:val="single"/>
        </w:rPr>
        <w:t>2022</w:t>
      </w:r>
      <w:r>
        <w:rPr>
          <w:rFonts w:hint="eastAsia" w:cs="宋体"/>
          <w:color w:val="auto"/>
          <w:kern w:val="0"/>
          <w:sz w:val="24"/>
        </w:rPr>
        <w:t>年</w:t>
      </w:r>
      <w:r>
        <w:rPr>
          <w:rFonts w:hint="eastAsia" w:cs="宋体"/>
          <w:color w:val="auto"/>
          <w:kern w:val="0"/>
          <w:sz w:val="24"/>
          <w:u w:val="single"/>
        </w:rPr>
        <w:t>4</w:t>
      </w:r>
      <w:r>
        <w:rPr>
          <w:rFonts w:hint="eastAsia" w:cs="宋体"/>
          <w:color w:val="auto"/>
          <w:kern w:val="0"/>
          <w:sz w:val="24"/>
        </w:rPr>
        <w:t>月</w:t>
      </w:r>
      <w:r>
        <w:rPr>
          <w:rFonts w:hint="eastAsia" w:cs="宋体"/>
          <w:color w:val="auto"/>
          <w:kern w:val="0"/>
          <w:sz w:val="24"/>
          <w:u w:val="single"/>
          <w:lang w:val="en-US" w:eastAsia="zh-CN"/>
        </w:rPr>
        <w:t>28</w:t>
      </w:r>
      <w:r>
        <w:rPr>
          <w:rFonts w:hint="eastAsia" w:cs="宋体"/>
          <w:color w:val="auto"/>
          <w:kern w:val="0"/>
          <w:sz w:val="24"/>
        </w:rPr>
        <w:t>日至</w:t>
      </w:r>
      <w:r>
        <w:rPr>
          <w:rFonts w:hint="eastAsia"/>
          <w:color w:val="auto"/>
          <w:kern w:val="0"/>
          <w:sz w:val="24"/>
          <w:u w:val="single"/>
        </w:rPr>
        <w:t>2022</w:t>
      </w:r>
      <w:r>
        <w:rPr>
          <w:rFonts w:hint="eastAsia" w:cs="宋体"/>
          <w:color w:val="auto"/>
          <w:kern w:val="0"/>
          <w:sz w:val="24"/>
        </w:rPr>
        <w:t>年</w:t>
      </w:r>
      <w:r>
        <w:rPr>
          <w:rFonts w:hint="eastAsia" w:cs="宋体"/>
          <w:color w:val="auto"/>
          <w:kern w:val="0"/>
          <w:sz w:val="24"/>
          <w:u w:val="single"/>
          <w:lang w:val="en-US" w:eastAsia="zh-CN"/>
        </w:rPr>
        <w:t>5</w:t>
      </w:r>
      <w:r>
        <w:rPr>
          <w:rFonts w:hint="eastAsia" w:cs="宋体"/>
          <w:color w:val="auto"/>
          <w:kern w:val="0"/>
          <w:sz w:val="24"/>
        </w:rPr>
        <w:t>月</w:t>
      </w:r>
      <w:r>
        <w:rPr>
          <w:rFonts w:hint="eastAsia" w:cs="宋体"/>
          <w:color w:val="auto"/>
          <w:kern w:val="0"/>
          <w:sz w:val="24"/>
          <w:u w:val="single"/>
          <w:lang w:val="en-US" w:eastAsia="zh-CN"/>
        </w:rPr>
        <w:t>7</w:t>
      </w:r>
      <w:r>
        <w:rPr>
          <w:rFonts w:hint="eastAsia" w:cs="宋体"/>
          <w:color w:val="auto"/>
          <w:kern w:val="0"/>
          <w:sz w:val="24"/>
        </w:rPr>
        <w:t>日，（法定公休日、法定节假日除外）每日上午</w:t>
      </w:r>
      <w:r>
        <w:rPr>
          <w:rFonts w:hint="eastAsia"/>
          <w:color w:val="auto"/>
          <w:kern w:val="0"/>
          <w:sz w:val="24"/>
          <w:u w:val="single"/>
        </w:rPr>
        <w:t>8</w:t>
      </w:r>
      <w:r>
        <w:rPr>
          <w:rFonts w:hint="eastAsia" w:cs="宋体"/>
          <w:color w:val="auto"/>
          <w:kern w:val="0"/>
          <w:sz w:val="24"/>
        </w:rPr>
        <w:t>时</w:t>
      </w:r>
      <w:r>
        <w:rPr>
          <w:rFonts w:hint="eastAsia"/>
          <w:color w:val="auto"/>
          <w:kern w:val="0"/>
          <w:sz w:val="24"/>
          <w:u w:val="single"/>
        </w:rPr>
        <w:t>3</w:t>
      </w:r>
      <w:r>
        <w:rPr>
          <w:color w:val="auto"/>
          <w:kern w:val="0"/>
          <w:sz w:val="24"/>
          <w:u w:val="single"/>
        </w:rPr>
        <w:t>0</w:t>
      </w:r>
      <w:r>
        <w:rPr>
          <w:rFonts w:hint="eastAsia" w:cs="宋体"/>
          <w:color w:val="auto"/>
          <w:kern w:val="0"/>
          <w:sz w:val="24"/>
        </w:rPr>
        <w:t>分至</w:t>
      </w:r>
      <w:r>
        <w:rPr>
          <w:rFonts w:hint="eastAsia"/>
          <w:color w:val="auto"/>
          <w:kern w:val="0"/>
          <w:sz w:val="24"/>
          <w:u w:val="single"/>
        </w:rPr>
        <w:t>11</w:t>
      </w:r>
      <w:r>
        <w:rPr>
          <w:rFonts w:hint="eastAsia" w:cs="宋体"/>
          <w:color w:val="auto"/>
          <w:kern w:val="0"/>
          <w:sz w:val="24"/>
        </w:rPr>
        <w:t>时</w:t>
      </w:r>
      <w:r>
        <w:rPr>
          <w:color w:val="auto"/>
          <w:kern w:val="0"/>
          <w:sz w:val="24"/>
          <w:u w:val="single"/>
        </w:rPr>
        <w:t>00</w:t>
      </w:r>
      <w:r>
        <w:rPr>
          <w:rFonts w:hint="eastAsia" w:cs="宋体"/>
          <w:color w:val="auto"/>
          <w:kern w:val="0"/>
          <w:sz w:val="24"/>
        </w:rPr>
        <w:t>分，下午</w:t>
      </w:r>
      <w:r>
        <w:rPr>
          <w:color w:val="auto"/>
          <w:kern w:val="0"/>
          <w:sz w:val="24"/>
          <w:u w:val="single"/>
        </w:rPr>
        <w:t>1</w:t>
      </w:r>
      <w:r>
        <w:rPr>
          <w:rFonts w:hint="eastAsia"/>
          <w:color w:val="auto"/>
          <w:kern w:val="0"/>
          <w:sz w:val="24"/>
          <w:u w:val="single"/>
        </w:rPr>
        <w:t>3</w:t>
      </w:r>
      <w:r>
        <w:rPr>
          <w:rFonts w:hint="eastAsia" w:cs="宋体"/>
          <w:color w:val="auto"/>
          <w:kern w:val="0"/>
          <w:sz w:val="24"/>
        </w:rPr>
        <w:t>时</w:t>
      </w:r>
      <w:r>
        <w:rPr>
          <w:rFonts w:hint="eastAsia"/>
          <w:color w:val="auto"/>
          <w:kern w:val="0"/>
          <w:sz w:val="24"/>
          <w:u w:val="single"/>
        </w:rPr>
        <w:t>3</w:t>
      </w:r>
      <w:r>
        <w:rPr>
          <w:color w:val="auto"/>
          <w:kern w:val="0"/>
          <w:sz w:val="24"/>
          <w:u w:val="single"/>
        </w:rPr>
        <w:t>0</w:t>
      </w:r>
      <w:r>
        <w:rPr>
          <w:rFonts w:hint="eastAsia" w:cs="宋体"/>
          <w:color w:val="auto"/>
          <w:kern w:val="0"/>
          <w:sz w:val="24"/>
        </w:rPr>
        <w:t>分至</w:t>
      </w:r>
      <w:r>
        <w:rPr>
          <w:color w:val="auto"/>
          <w:kern w:val="0"/>
          <w:sz w:val="24"/>
          <w:u w:val="single"/>
        </w:rPr>
        <w:t>16</w:t>
      </w:r>
      <w:r>
        <w:rPr>
          <w:rFonts w:hint="eastAsia" w:cs="宋体"/>
          <w:color w:val="auto"/>
          <w:kern w:val="0"/>
          <w:sz w:val="24"/>
        </w:rPr>
        <w:t>时</w:t>
      </w:r>
      <w:r>
        <w:rPr>
          <w:color w:val="auto"/>
          <w:kern w:val="0"/>
          <w:sz w:val="24"/>
          <w:u w:val="single"/>
        </w:rPr>
        <w:t>00</w:t>
      </w:r>
      <w:r>
        <w:rPr>
          <w:rFonts w:hint="eastAsia" w:cs="宋体"/>
          <w:color w:val="auto"/>
          <w:kern w:val="0"/>
          <w:sz w:val="24"/>
        </w:rPr>
        <w:t>分（北京时间，下同），</w:t>
      </w:r>
      <w:r>
        <w:rPr>
          <w:rFonts w:hint="eastAsia" w:cs="宋体"/>
          <w:color w:val="auto"/>
          <w:kern w:val="0"/>
          <w:sz w:val="24"/>
          <w:u w:val="single"/>
        </w:rPr>
        <w:t>可直接通过电话与招标代理联系人联系，通过网络或邮寄方式获取招标文件，并将单位介绍信和经办人身份证</w:t>
      </w:r>
      <w:r>
        <w:rPr>
          <w:color w:val="auto"/>
        </w:rPr>
        <w:fldChar w:fldCharType="begin"/>
      </w:r>
      <w:r>
        <w:rPr>
          <w:color w:val="auto"/>
        </w:rPr>
        <w:instrText xml:space="preserve"> HYPERLINK "mailto:的彩色扫描件发至jinzhengzixun888@163.com" </w:instrText>
      </w:r>
      <w:r>
        <w:rPr>
          <w:color w:val="auto"/>
        </w:rPr>
        <w:fldChar w:fldCharType="separate"/>
      </w:r>
      <w:r>
        <w:rPr>
          <w:rFonts w:hint="eastAsia" w:cs="宋体"/>
          <w:color w:val="auto"/>
          <w:kern w:val="0"/>
          <w:sz w:val="24"/>
          <w:u w:val="single"/>
        </w:rPr>
        <w:t>的彩色扫描件发至邮箱</w:t>
      </w:r>
      <w:r>
        <w:rPr>
          <w:rFonts w:hint="eastAsia" w:cs="宋体"/>
          <w:color w:val="auto"/>
          <w:kern w:val="0"/>
          <w:sz w:val="24"/>
          <w:u w:val="single"/>
        </w:rPr>
        <w:fldChar w:fldCharType="end"/>
      </w:r>
      <w:r>
        <w:rPr>
          <w:rFonts w:hint="eastAsia" w:cs="宋体"/>
          <w:color w:val="auto"/>
          <w:kern w:val="0"/>
          <w:sz w:val="24"/>
          <w:u w:val="single"/>
        </w:rPr>
        <w:t>chengtouzixun@163.com</w:t>
      </w:r>
      <w:r>
        <w:rPr>
          <w:rFonts w:hint="eastAsia" w:cs="宋体"/>
          <w:color w:val="auto"/>
          <w:kern w:val="0"/>
          <w:sz w:val="24"/>
        </w:rPr>
        <w:t>购买招标文件。</w:t>
      </w:r>
    </w:p>
    <w:p>
      <w:pPr>
        <w:snapToGrid w:val="0"/>
        <w:spacing w:line="360" w:lineRule="auto"/>
        <w:ind w:firstLine="480"/>
        <w:rPr>
          <w:color w:val="auto"/>
          <w:kern w:val="0"/>
          <w:sz w:val="24"/>
        </w:rPr>
      </w:pPr>
      <w:r>
        <w:rPr>
          <w:color w:val="auto"/>
          <w:kern w:val="0"/>
          <w:sz w:val="24"/>
        </w:rPr>
        <w:t xml:space="preserve">5.2 </w:t>
      </w:r>
      <w:r>
        <w:rPr>
          <w:rFonts w:hint="eastAsia" w:cs="宋体"/>
          <w:color w:val="auto"/>
          <w:kern w:val="0"/>
          <w:sz w:val="24"/>
        </w:rPr>
        <w:t>招标文件售价</w:t>
      </w:r>
      <w:r>
        <w:rPr>
          <w:color w:val="auto"/>
          <w:kern w:val="0"/>
          <w:sz w:val="24"/>
          <w:u w:val="single"/>
        </w:rPr>
        <w:t>1000</w:t>
      </w:r>
      <w:r>
        <w:rPr>
          <w:rFonts w:hint="eastAsia" w:cs="宋体"/>
          <w:color w:val="auto"/>
          <w:kern w:val="0"/>
          <w:sz w:val="24"/>
        </w:rPr>
        <w:t>元，售后不退。</w:t>
      </w:r>
    </w:p>
    <w:p>
      <w:pPr>
        <w:spacing w:line="408" w:lineRule="auto"/>
        <w:rPr>
          <w:rFonts w:ascii="黑体" w:eastAsia="黑体" w:cs="黑体"/>
          <w:b/>
          <w:bCs/>
          <w:color w:val="auto"/>
          <w:kern w:val="0"/>
          <w:sz w:val="24"/>
        </w:rPr>
      </w:pPr>
      <w:r>
        <w:rPr>
          <w:rFonts w:ascii="黑体" w:eastAsia="黑体" w:cs="黑体"/>
          <w:b/>
          <w:bCs/>
          <w:color w:val="auto"/>
          <w:kern w:val="0"/>
          <w:sz w:val="24"/>
        </w:rPr>
        <w:t xml:space="preserve">6. </w:t>
      </w:r>
      <w:r>
        <w:rPr>
          <w:rFonts w:hint="eastAsia" w:ascii="黑体" w:eastAsia="黑体" w:cs="黑体"/>
          <w:b/>
          <w:bCs/>
          <w:color w:val="auto"/>
          <w:kern w:val="0"/>
          <w:sz w:val="24"/>
        </w:rPr>
        <w:t>投标文件的递交及相关事宜</w:t>
      </w:r>
    </w:p>
    <w:p>
      <w:pPr>
        <w:snapToGrid w:val="0"/>
        <w:spacing w:line="360" w:lineRule="auto"/>
        <w:ind w:firstLine="480"/>
        <w:rPr>
          <w:color w:val="auto"/>
          <w:kern w:val="0"/>
          <w:sz w:val="24"/>
        </w:rPr>
      </w:pPr>
      <w:r>
        <w:rPr>
          <w:color w:val="auto"/>
          <w:kern w:val="0"/>
          <w:sz w:val="24"/>
        </w:rPr>
        <w:t xml:space="preserve">6.1 </w:t>
      </w:r>
      <w:r>
        <w:rPr>
          <w:rFonts w:hint="eastAsia" w:cs="宋体"/>
          <w:color w:val="auto"/>
          <w:kern w:val="0"/>
          <w:sz w:val="24"/>
        </w:rPr>
        <w:t>招标人将于下列时间和地点组织进行工程现场踏勘并召开投标预备会。</w:t>
      </w:r>
    </w:p>
    <w:p>
      <w:pPr>
        <w:snapToGrid w:val="0"/>
        <w:spacing w:line="360" w:lineRule="auto"/>
        <w:ind w:firstLine="480"/>
        <w:rPr>
          <w:color w:val="auto"/>
          <w:kern w:val="0"/>
          <w:sz w:val="24"/>
        </w:rPr>
      </w:pPr>
      <w:r>
        <w:rPr>
          <w:rFonts w:hint="eastAsia" w:cs="宋体"/>
          <w:color w:val="auto"/>
          <w:kern w:val="0"/>
          <w:sz w:val="24"/>
        </w:rPr>
        <w:t>踏勘现场时间：</w:t>
      </w:r>
      <w:r>
        <w:rPr>
          <w:rFonts w:hint="eastAsia" w:cs="宋体"/>
          <w:color w:val="auto"/>
          <w:kern w:val="0"/>
          <w:sz w:val="24"/>
          <w:u w:val="single"/>
        </w:rPr>
        <w:t>不组织</w:t>
      </w:r>
      <w:r>
        <w:rPr>
          <w:rFonts w:hint="eastAsia" w:cs="宋体"/>
          <w:color w:val="auto"/>
          <w:kern w:val="0"/>
          <w:sz w:val="24"/>
        </w:rPr>
        <w:t>；</w:t>
      </w:r>
    </w:p>
    <w:p>
      <w:pPr>
        <w:snapToGrid w:val="0"/>
        <w:spacing w:line="360" w:lineRule="auto"/>
        <w:ind w:firstLine="480"/>
        <w:rPr>
          <w:color w:val="auto"/>
          <w:kern w:val="0"/>
          <w:sz w:val="24"/>
        </w:rPr>
      </w:pPr>
      <w:r>
        <w:rPr>
          <w:rFonts w:hint="eastAsia" w:cs="宋体"/>
          <w:color w:val="auto"/>
          <w:kern w:val="0"/>
          <w:sz w:val="24"/>
        </w:rPr>
        <w:t>投标预备会时间：</w:t>
      </w:r>
      <w:r>
        <w:rPr>
          <w:rFonts w:hint="eastAsia" w:cs="宋体"/>
          <w:color w:val="auto"/>
          <w:kern w:val="0"/>
          <w:sz w:val="24"/>
          <w:u w:val="single"/>
        </w:rPr>
        <w:t>不组织</w:t>
      </w:r>
      <w:r>
        <w:rPr>
          <w:rFonts w:hint="eastAsia" w:cs="宋体"/>
          <w:color w:val="auto"/>
          <w:kern w:val="0"/>
          <w:sz w:val="24"/>
        </w:rPr>
        <w:t>。</w:t>
      </w:r>
    </w:p>
    <w:p>
      <w:pPr>
        <w:autoSpaceDE w:val="0"/>
        <w:autoSpaceDN w:val="0"/>
        <w:snapToGrid w:val="0"/>
        <w:spacing w:line="360" w:lineRule="auto"/>
        <w:ind w:firstLine="360"/>
        <w:jc w:val="left"/>
        <w:rPr>
          <w:color w:val="auto"/>
          <w:kern w:val="0"/>
          <w:sz w:val="24"/>
          <w:u w:val="single"/>
        </w:rPr>
      </w:pPr>
      <w:r>
        <w:rPr>
          <w:color w:val="auto"/>
          <w:kern w:val="0"/>
          <w:sz w:val="24"/>
        </w:rPr>
        <w:t xml:space="preserve"> 6.2</w:t>
      </w:r>
      <w:r>
        <w:rPr>
          <w:rFonts w:hint="eastAsia" w:cs="宋体"/>
          <w:color w:val="auto"/>
          <w:kern w:val="0"/>
          <w:sz w:val="24"/>
        </w:rPr>
        <w:t>投标文件递交的截止时间（投标截止时间，下同）为</w:t>
      </w:r>
      <w:r>
        <w:rPr>
          <w:rFonts w:hint="eastAsia"/>
          <w:color w:val="auto"/>
          <w:kern w:val="0"/>
          <w:sz w:val="24"/>
          <w:u w:val="single"/>
        </w:rPr>
        <w:t>2022</w:t>
      </w:r>
      <w:r>
        <w:rPr>
          <w:rFonts w:hint="eastAsia" w:cs="宋体"/>
          <w:color w:val="auto"/>
          <w:kern w:val="0"/>
          <w:sz w:val="24"/>
        </w:rPr>
        <w:t>年</w:t>
      </w:r>
      <w:r>
        <w:rPr>
          <w:rFonts w:hint="eastAsia" w:cs="宋体"/>
          <w:color w:val="auto"/>
          <w:kern w:val="0"/>
          <w:sz w:val="24"/>
          <w:u w:val="single"/>
        </w:rPr>
        <w:t>5</w:t>
      </w:r>
      <w:r>
        <w:rPr>
          <w:rFonts w:hint="eastAsia" w:cs="宋体"/>
          <w:color w:val="auto"/>
          <w:kern w:val="0"/>
          <w:sz w:val="24"/>
        </w:rPr>
        <w:t>月</w:t>
      </w:r>
      <w:r>
        <w:rPr>
          <w:rFonts w:hint="eastAsia" w:cs="宋体"/>
          <w:color w:val="auto"/>
          <w:kern w:val="0"/>
          <w:sz w:val="24"/>
          <w:u w:val="single"/>
          <w:lang w:val="en-US" w:eastAsia="zh-CN"/>
        </w:rPr>
        <w:t>20</w:t>
      </w:r>
      <w:r>
        <w:rPr>
          <w:rFonts w:hint="eastAsia" w:cs="宋体"/>
          <w:color w:val="auto"/>
          <w:kern w:val="0"/>
          <w:sz w:val="24"/>
        </w:rPr>
        <w:t>日</w:t>
      </w:r>
      <w:r>
        <w:rPr>
          <w:color w:val="auto"/>
          <w:kern w:val="0"/>
          <w:sz w:val="24"/>
          <w:u w:val="single"/>
        </w:rPr>
        <w:t>9</w:t>
      </w:r>
      <w:r>
        <w:rPr>
          <w:rFonts w:hint="eastAsia" w:cs="宋体"/>
          <w:color w:val="auto"/>
          <w:kern w:val="0"/>
          <w:sz w:val="24"/>
        </w:rPr>
        <w:t>时</w:t>
      </w:r>
      <w:r>
        <w:rPr>
          <w:color w:val="auto"/>
          <w:kern w:val="0"/>
          <w:sz w:val="24"/>
          <w:u w:val="single"/>
        </w:rPr>
        <w:t>30</w:t>
      </w:r>
      <w:r>
        <w:rPr>
          <w:rFonts w:hint="eastAsia" w:cs="宋体"/>
          <w:color w:val="auto"/>
          <w:kern w:val="0"/>
          <w:sz w:val="24"/>
        </w:rPr>
        <w:t>分，投标人应于当日</w:t>
      </w:r>
      <w:r>
        <w:rPr>
          <w:color w:val="auto"/>
          <w:kern w:val="0"/>
          <w:sz w:val="24"/>
          <w:u w:val="single"/>
        </w:rPr>
        <w:t>9</w:t>
      </w:r>
      <w:r>
        <w:rPr>
          <w:rFonts w:hint="eastAsia" w:cs="宋体"/>
          <w:color w:val="auto"/>
          <w:kern w:val="0"/>
          <w:sz w:val="24"/>
        </w:rPr>
        <w:t>时</w:t>
      </w:r>
      <w:r>
        <w:rPr>
          <w:color w:val="auto"/>
          <w:kern w:val="0"/>
          <w:sz w:val="24"/>
          <w:u w:val="single"/>
        </w:rPr>
        <w:t>00</w:t>
      </w:r>
      <w:r>
        <w:rPr>
          <w:rFonts w:hint="eastAsia" w:cs="宋体"/>
          <w:color w:val="auto"/>
          <w:kern w:val="0"/>
          <w:sz w:val="24"/>
        </w:rPr>
        <w:t>分至</w:t>
      </w:r>
      <w:r>
        <w:rPr>
          <w:color w:val="auto"/>
          <w:kern w:val="0"/>
          <w:sz w:val="24"/>
          <w:u w:val="single"/>
        </w:rPr>
        <w:t>9</w:t>
      </w:r>
      <w:r>
        <w:rPr>
          <w:rFonts w:hint="eastAsia" w:cs="宋体"/>
          <w:color w:val="auto"/>
          <w:kern w:val="0"/>
          <w:sz w:val="24"/>
        </w:rPr>
        <w:t>时</w:t>
      </w:r>
      <w:r>
        <w:rPr>
          <w:color w:val="auto"/>
          <w:kern w:val="0"/>
          <w:sz w:val="24"/>
          <w:u w:val="single"/>
        </w:rPr>
        <w:t>30</w:t>
      </w:r>
      <w:r>
        <w:rPr>
          <w:rFonts w:hint="eastAsia" w:cs="宋体"/>
          <w:color w:val="auto"/>
          <w:kern w:val="0"/>
          <w:sz w:val="24"/>
        </w:rPr>
        <w:t>分将投标文件递交至</w:t>
      </w:r>
      <w:r>
        <w:rPr>
          <w:rFonts w:cs="宋体"/>
          <w:color w:val="auto"/>
          <w:kern w:val="0"/>
          <w:sz w:val="24"/>
          <w:u w:val="single"/>
        </w:rPr>
        <w:t>天津市</w:t>
      </w:r>
      <w:r>
        <w:rPr>
          <w:rFonts w:hint="eastAsia" w:cs="宋体"/>
          <w:color w:val="auto"/>
          <w:kern w:val="0"/>
          <w:sz w:val="24"/>
          <w:u w:val="single"/>
        </w:rPr>
        <w:t>行政许可服务中心二楼公共资源交易平台第</w:t>
      </w:r>
      <w:r>
        <w:rPr>
          <w:rFonts w:hint="eastAsia" w:cs="宋体"/>
          <w:color w:val="auto"/>
          <w:kern w:val="0"/>
          <w:sz w:val="24"/>
          <w:u w:val="single"/>
          <w:lang w:eastAsia="zh-CN"/>
        </w:rPr>
        <w:t>六</w:t>
      </w:r>
      <w:r>
        <w:rPr>
          <w:rFonts w:hint="eastAsia" w:cs="宋体"/>
          <w:color w:val="auto"/>
          <w:kern w:val="0"/>
          <w:sz w:val="24"/>
          <w:u w:val="single"/>
        </w:rPr>
        <w:t>开标室【天津市河东区卫国道79号（红星路与卫国道交口顺驰立交桥旁）】。</w:t>
      </w:r>
    </w:p>
    <w:p>
      <w:pPr>
        <w:autoSpaceDE w:val="0"/>
        <w:autoSpaceDN w:val="0"/>
        <w:snapToGrid w:val="0"/>
        <w:spacing w:line="360" w:lineRule="auto"/>
        <w:ind w:firstLine="360"/>
        <w:jc w:val="left"/>
        <w:rPr>
          <w:color w:val="auto"/>
          <w:kern w:val="0"/>
          <w:sz w:val="24"/>
        </w:rPr>
      </w:pPr>
      <w:r>
        <w:rPr>
          <w:color w:val="auto"/>
          <w:kern w:val="0"/>
          <w:sz w:val="24"/>
        </w:rPr>
        <w:t xml:space="preserve">6.3 </w:t>
      </w:r>
      <w:r>
        <w:rPr>
          <w:rFonts w:hint="eastAsia" w:cs="宋体"/>
          <w:color w:val="auto"/>
          <w:kern w:val="0"/>
          <w:sz w:val="24"/>
        </w:rPr>
        <w:t>逾期送达的、未送达指定地点的或不按招标文件要求密封的投标文件，招标人将予以拒收。</w:t>
      </w:r>
    </w:p>
    <w:p>
      <w:pPr>
        <w:spacing w:line="408" w:lineRule="auto"/>
        <w:rPr>
          <w:rFonts w:ascii="黑体" w:eastAsia="黑体" w:cs="黑体"/>
          <w:b/>
          <w:bCs/>
          <w:color w:val="auto"/>
          <w:kern w:val="0"/>
          <w:sz w:val="24"/>
        </w:rPr>
      </w:pPr>
      <w:r>
        <w:rPr>
          <w:rFonts w:ascii="黑体" w:eastAsia="黑体" w:cs="黑体"/>
          <w:b/>
          <w:bCs/>
          <w:color w:val="auto"/>
          <w:kern w:val="0"/>
          <w:sz w:val="24"/>
        </w:rPr>
        <w:t>7</w:t>
      </w:r>
      <w:r>
        <w:rPr>
          <w:rFonts w:hint="eastAsia" w:ascii="黑体" w:eastAsia="黑体" w:cs="黑体"/>
          <w:b/>
          <w:bCs/>
          <w:color w:val="auto"/>
          <w:kern w:val="0"/>
          <w:sz w:val="24"/>
        </w:rPr>
        <w:t>．发布公告的媒介</w:t>
      </w:r>
    </w:p>
    <w:p>
      <w:pPr>
        <w:spacing w:line="408" w:lineRule="auto"/>
        <w:ind w:firstLine="480" w:firstLineChars="200"/>
        <w:rPr>
          <w:rFonts w:cs="宋体"/>
          <w:color w:val="auto"/>
          <w:kern w:val="0"/>
          <w:sz w:val="24"/>
        </w:rPr>
      </w:pPr>
      <w:r>
        <w:rPr>
          <w:rFonts w:hint="eastAsia" w:cs="宋体"/>
          <w:color w:val="auto"/>
          <w:kern w:val="0"/>
          <w:sz w:val="24"/>
        </w:rPr>
        <w:t>本次招标公告同时在</w:t>
      </w:r>
      <w:r>
        <w:rPr>
          <w:rFonts w:hint="eastAsia" w:cs="宋体"/>
          <w:color w:val="auto"/>
          <w:kern w:val="0"/>
          <w:sz w:val="24"/>
          <w:u w:val="single"/>
        </w:rPr>
        <w:t>天津市公共资源交易网</w:t>
      </w:r>
      <w:r>
        <w:rPr>
          <w:rFonts w:cs="宋体"/>
          <w:color w:val="auto"/>
          <w:kern w:val="0"/>
          <w:sz w:val="24"/>
          <w:u w:val="single"/>
        </w:rPr>
        <w:t>（http://60.28.163.169/）</w:t>
      </w:r>
      <w:r>
        <w:rPr>
          <w:rFonts w:hint="eastAsia" w:cs="宋体"/>
          <w:color w:val="auto"/>
          <w:kern w:val="0"/>
          <w:sz w:val="24"/>
          <w:u w:val="single"/>
        </w:rPr>
        <w:t>、</w:t>
      </w:r>
      <w:r>
        <w:rPr>
          <w:rFonts w:hint="eastAsia" w:cs="宋体"/>
          <w:bCs/>
          <w:color w:val="auto"/>
          <w:kern w:val="0"/>
          <w:sz w:val="24"/>
          <w:u w:val="single"/>
        </w:rPr>
        <w:t>天津市滨海新区交通运输局</w:t>
      </w:r>
      <w:r>
        <w:rPr>
          <w:rFonts w:hint="eastAsia" w:cs="宋体"/>
          <w:color w:val="auto"/>
          <w:kern w:val="0"/>
          <w:sz w:val="24"/>
          <w:u w:val="single"/>
        </w:rPr>
        <w:t>官网（（</w:t>
      </w:r>
      <w:r>
        <w:rPr>
          <w:color w:val="auto"/>
        </w:rPr>
        <w:fldChar w:fldCharType="begin"/>
      </w:r>
      <w:r>
        <w:rPr>
          <w:color w:val="auto"/>
        </w:rPr>
        <w:instrText xml:space="preserve"> HYPERLINK "http://jtysj.tjbh.gov.cn/" </w:instrText>
      </w:r>
      <w:r>
        <w:rPr>
          <w:color w:val="auto"/>
        </w:rPr>
        <w:fldChar w:fldCharType="separate"/>
      </w:r>
      <w:r>
        <w:rPr>
          <w:rStyle w:val="28"/>
          <w:rFonts w:cs="宋体"/>
          <w:color w:val="auto"/>
          <w:kern w:val="0"/>
          <w:sz w:val="24"/>
        </w:rPr>
        <w:t>http://jtysj.tjbh.gov.cn/</w:t>
      </w:r>
      <w:r>
        <w:rPr>
          <w:rStyle w:val="28"/>
          <w:rFonts w:cs="宋体"/>
          <w:color w:val="auto"/>
          <w:kern w:val="0"/>
          <w:sz w:val="24"/>
        </w:rPr>
        <w:fldChar w:fldCharType="end"/>
      </w:r>
      <w:r>
        <w:rPr>
          <w:rFonts w:hint="eastAsia" w:cs="宋体"/>
          <w:color w:val="auto"/>
          <w:kern w:val="0"/>
          <w:sz w:val="24"/>
          <w:u w:val="single"/>
        </w:rPr>
        <w:t>）</w:t>
      </w:r>
      <w:r>
        <w:rPr>
          <w:rFonts w:hint="eastAsia" w:cs="宋体"/>
          <w:color w:val="auto"/>
          <w:kern w:val="0"/>
          <w:sz w:val="24"/>
        </w:rPr>
        <w:t>上发布。</w:t>
      </w:r>
    </w:p>
    <w:p>
      <w:pPr>
        <w:spacing w:line="408" w:lineRule="auto"/>
        <w:ind w:firstLine="480" w:firstLineChars="200"/>
        <w:rPr>
          <w:color w:val="auto"/>
          <w:kern w:val="0"/>
          <w:sz w:val="24"/>
        </w:rPr>
      </w:pPr>
      <w:r>
        <w:rPr>
          <w:rFonts w:hint="eastAsia"/>
          <w:color w:val="auto"/>
          <w:kern w:val="0"/>
          <w:sz w:val="24"/>
        </w:rPr>
        <w:t xml:space="preserve">提示：按照《天津市人民政府办公厅关于印发天津市整合建立统一的公共资源交易平台体系实施方案的通知》中统一注册市场主体信息的要求，初次参加投标的投标人需在招标文件发售期间，在天津市公共资源交易网进行注册后，方可购买招标文件进行投标，注册方法可咨询招标代理机构。已进行注册的投标人不需重新注册。 </w:t>
      </w:r>
    </w:p>
    <w:p>
      <w:pPr>
        <w:spacing w:line="408" w:lineRule="auto"/>
        <w:rPr>
          <w:rFonts w:ascii="黑体" w:hAnsi="黑体" w:eastAsia="黑体"/>
          <w:b/>
          <w:bCs/>
          <w:color w:val="auto"/>
          <w:kern w:val="0"/>
          <w:sz w:val="24"/>
        </w:rPr>
      </w:pPr>
      <w:r>
        <w:rPr>
          <w:rFonts w:ascii="黑体" w:hAnsi="黑体" w:eastAsia="黑体" w:cs="黑体"/>
          <w:b/>
          <w:bCs/>
          <w:color w:val="auto"/>
          <w:kern w:val="0"/>
          <w:sz w:val="24"/>
        </w:rPr>
        <w:t>8</w:t>
      </w:r>
      <w:r>
        <w:rPr>
          <w:rFonts w:hint="eastAsia" w:ascii="黑体" w:hAnsi="黑体" w:eastAsia="黑体" w:cs="黑体"/>
          <w:b/>
          <w:bCs/>
          <w:color w:val="auto"/>
          <w:kern w:val="0"/>
          <w:sz w:val="24"/>
        </w:rPr>
        <w:t>．招标文件关键内容</w:t>
      </w:r>
    </w:p>
    <w:p>
      <w:pPr>
        <w:spacing w:line="408" w:lineRule="auto"/>
        <w:ind w:firstLine="480" w:firstLineChars="200"/>
        <w:rPr>
          <w:color w:val="auto"/>
          <w:kern w:val="0"/>
          <w:sz w:val="24"/>
        </w:rPr>
      </w:pPr>
      <w:r>
        <w:rPr>
          <w:rFonts w:hint="eastAsia" w:cs="宋体"/>
          <w:color w:val="auto"/>
          <w:kern w:val="0"/>
          <w:sz w:val="24"/>
        </w:rPr>
        <w:t>另见附件，最终以发售纸质招标文件为准。</w:t>
      </w:r>
    </w:p>
    <w:p>
      <w:pPr>
        <w:spacing w:line="360" w:lineRule="auto"/>
        <w:rPr>
          <w:color w:val="auto"/>
          <w:sz w:val="24"/>
        </w:rPr>
      </w:pPr>
      <w:r>
        <w:rPr>
          <w:rFonts w:ascii="黑体" w:eastAsia="黑体" w:cs="黑体"/>
          <w:b/>
          <w:bCs/>
          <w:color w:val="auto"/>
          <w:kern w:val="0"/>
          <w:sz w:val="24"/>
        </w:rPr>
        <w:t xml:space="preserve">9. </w:t>
      </w:r>
      <w:r>
        <w:rPr>
          <w:rFonts w:hint="eastAsia" w:ascii="黑体" w:eastAsia="黑体" w:cs="黑体"/>
          <w:b/>
          <w:bCs/>
          <w:color w:val="auto"/>
          <w:kern w:val="0"/>
          <w:sz w:val="24"/>
        </w:rPr>
        <w:t>联系方式</w:t>
      </w:r>
    </w:p>
    <w:tbl>
      <w:tblPr>
        <w:tblStyle w:val="20"/>
        <w:tblW w:w="10062" w:type="dxa"/>
        <w:tblInd w:w="-106" w:type="dxa"/>
        <w:tblLayout w:type="fixed"/>
        <w:tblCellMar>
          <w:top w:w="0" w:type="dxa"/>
          <w:left w:w="108" w:type="dxa"/>
          <w:bottom w:w="0" w:type="dxa"/>
          <w:right w:w="108" w:type="dxa"/>
        </w:tblCellMar>
      </w:tblPr>
      <w:tblGrid>
        <w:gridCol w:w="1242"/>
        <w:gridCol w:w="3513"/>
        <w:gridCol w:w="1425"/>
        <w:gridCol w:w="3882"/>
      </w:tblGrid>
      <w:tr>
        <w:tblPrEx>
          <w:tblCellMar>
            <w:top w:w="0" w:type="dxa"/>
            <w:left w:w="108" w:type="dxa"/>
            <w:bottom w:w="0" w:type="dxa"/>
            <w:right w:w="108" w:type="dxa"/>
          </w:tblCellMar>
        </w:tblPrEx>
        <w:trPr>
          <w:trHeight w:val="420" w:hRule="atLeast"/>
        </w:trPr>
        <w:tc>
          <w:tcPr>
            <w:tcW w:w="1242" w:type="dxa"/>
            <w:vAlign w:val="center"/>
          </w:tcPr>
          <w:p>
            <w:pPr>
              <w:spacing w:line="400" w:lineRule="exact"/>
              <w:rPr>
                <w:color w:val="auto"/>
                <w:sz w:val="18"/>
                <w:szCs w:val="18"/>
              </w:rPr>
            </w:pPr>
            <w:r>
              <w:rPr>
                <w:rFonts w:hint="eastAsia" w:cs="宋体"/>
                <w:color w:val="auto"/>
                <w:sz w:val="18"/>
                <w:szCs w:val="18"/>
              </w:rPr>
              <w:t>招标人：</w:t>
            </w:r>
          </w:p>
        </w:tc>
        <w:tc>
          <w:tcPr>
            <w:tcW w:w="3513" w:type="dxa"/>
            <w:vAlign w:val="center"/>
          </w:tcPr>
          <w:p>
            <w:pPr>
              <w:spacing w:line="400" w:lineRule="exact"/>
              <w:rPr>
                <w:color w:val="auto"/>
                <w:sz w:val="18"/>
                <w:szCs w:val="18"/>
                <w:u w:val="single"/>
              </w:rPr>
            </w:pPr>
            <w:r>
              <w:rPr>
                <w:rFonts w:hint="eastAsia" w:cs="宋体"/>
                <w:color w:val="auto"/>
                <w:sz w:val="18"/>
                <w:szCs w:val="18"/>
                <w:u w:val="single"/>
              </w:rPr>
              <w:t>天津市滨海新区城投建设发展有限公司</w:t>
            </w:r>
          </w:p>
        </w:tc>
        <w:tc>
          <w:tcPr>
            <w:tcW w:w="1425" w:type="dxa"/>
            <w:vAlign w:val="center"/>
          </w:tcPr>
          <w:p>
            <w:pPr>
              <w:spacing w:line="400" w:lineRule="exact"/>
              <w:rPr>
                <w:color w:val="auto"/>
                <w:sz w:val="18"/>
                <w:szCs w:val="18"/>
              </w:rPr>
            </w:pPr>
            <w:r>
              <w:rPr>
                <w:rFonts w:hint="eastAsia" w:cs="宋体"/>
                <w:color w:val="auto"/>
                <w:sz w:val="18"/>
                <w:szCs w:val="18"/>
              </w:rPr>
              <w:t>招标代理机构：</w:t>
            </w:r>
          </w:p>
        </w:tc>
        <w:tc>
          <w:tcPr>
            <w:tcW w:w="3882" w:type="dxa"/>
            <w:vAlign w:val="center"/>
          </w:tcPr>
          <w:p>
            <w:pPr>
              <w:spacing w:line="400" w:lineRule="exact"/>
              <w:rPr>
                <w:color w:val="auto"/>
                <w:sz w:val="18"/>
                <w:szCs w:val="18"/>
                <w:u w:val="single"/>
              </w:rPr>
            </w:pPr>
            <w:r>
              <w:rPr>
                <w:rFonts w:hint="eastAsia"/>
                <w:color w:val="auto"/>
                <w:sz w:val="18"/>
                <w:szCs w:val="18"/>
                <w:u w:val="single"/>
              </w:rPr>
              <w:t>天津市滨海新区城投工程咨询有限公司</w:t>
            </w:r>
          </w:p>
        </w:tc>
      </w:tr>
      <w:tr>
        <w:tblPrEx>
          <w:tblCellMar>
            <w:top w:w="0" w:type="dxa"/>
            <w:left w:w="108" w:type="dxa"/>
            <w:bottom w:w="0" w:type="dxa"/>
            <w:right w:w="108" w:type="dxa"/>
          </w:tblCellMar>
        </w:tblPrEx>
        <w:trPr>
          <w:trHeight w:val="505" w:hRule="atLeast"/>
        </w:trPr>
        <w:tc>
          <w:tcPr>
            <w:tcW w:w="1242" w:type="dxa"/>
            <w:vAlign w:val="center"/>
          </w:tcPr>
          <w:p>
            <w:pPr>
              <w:spacing w:line="400" w:lineRule="exact"/>
              <w:rPr>
                <w:color w:val="auto"/>
                <w:sz w:val="18"/>
                <w:szCs w:val="18"/>
              </w:rPr>
            </w:pPr>
            <w:r>
              <w:rPr>
                <w:rFonts w:hint="eastAsia" w:cs="宋体"/>
                <w:color w:val="auto"/>
                <w:sz w:val="18"/>
                <w:szCs w:val="18"/>
              </w:rPr>
              <w:t>地址：</w:t>
            </w:r>
          </w:p>
        </w:tc>
        <w:tc>
          <w:tcPr>
            <w:tcW w:w="3513" w:type="dxa"/>
            <w:vAlign w:val="center"/>
          </w:tcPr>
          <w:p>
            <w:pPr>
              <w:spacing w:line="400" w:lineRule="exact"/>
              <w:rPr>
                <w:color w:val="auto"/>
                <w:sz w:val="18"/>
                <w:szCs w:val="18"/>
                <w:u w:val="single"/>
              </w:rPr>
            </w:pPr>
            <w:r>
              <w:rPr>
                <w:rFonts w:hint="eastAsia" w:cs="宋体"/>
                <w:color w:val="auto"/>
                <w:sz w:val="18"/>
                <w:szCs w:val="18"/>
                <w:u w:val="single"/>
              </w:rPr>
              <w:t>天津市滨海新区塘沽新港四号路136号</w:t>
            </w:r>
          </w:p>
        </w:tc>
        <w:tc>
          <w:tcPr>
            <w:tcW w:w="1425" w:type="dxa"/>
            <w:vAlign w:val="center"/>
          </w:tcPr>
          <w:p>
            <w:pPr>
              <w:spacing w:line="400" w:lineRule="exact"/>
              <w:rPr>
                <w:color w:val="auto"/>
                <w:sz w:val="18"/>
                <w:szCs w:val="18"/>
              </w:rPr>
            </w:pPr>
            <w:r>
              <w:rPr>
                <w:rFonts w:hint="eastAsia" w:cs="宋体"/>
                <w:color w:val="auto"/>
                <w:sz w:val="18"/>
                <w:szCs w:val="18"/>
              </w:rPr>
              <w:t>地址：</w:t>
            </w:r>
          </w:p>
        </w:tc>
        <w:tc>
          <w:tcPr>
            <w:tcW w:w="3882" w:type="dxa"/>
            <w:vAlign w:val="center"/>
          </w:tcPr>
          <w:p>
            <w:pPr>
              <w:spacing w:line="400" w:lineRule="exact"/>
              <w:rPr>
                <w:color w:val="auto"/>
                <w:sz w:val="18"/>
                <w:szCs w:val="18"/>
                <w:u w:val="single"/>
              </w:rPr>
            </w:pPr>
            <w:r>
              <w:rPr>
                <w:rFonts w:hint="eastAsia" w:cs="宋体"/>
                <w:color w:val="auto"/>
                <w:sz w:val="18"/>
                <w:szCs w:val="18"/>
                <w:u w:val="single"/>
              </w:rPr>
              <w:t>天津市滨海新区塘沽新港四号路136号三楼工程咨询公司</w:t>
            </w:r>
          </w:p>
        </w:tc>
      </w:tr>
      <w:tr>
        <w:tblPrEx>
          <w:tblCellMar>
            <w:top w:w="0" w:type="dxa"/>
            <w:left w:w="108" w:type="dxa"/>
            <w:bottom w:w="0" w:type="dxa"/>
            <w:right w:w="108" w:type="dxa"/>
          </w:tblCellMar>
        </w:tblPrEx>
        <w:trPr>
          <w:trHeight w:val="420" w:hRule="atLeast"/>
        </w:trPr>
        <w:tc>
          <w:tcPr>
            <w:tcW w:w="1242" w:type="dxa"/>
            <w:vAlign w:val="center"/>
          </w:tcPr>
          <w:p>
            <w:pPr>
              <w:spacing w:line="400" w:lineRule="exact"/>
              <w:rPr>
                <w:color w:val="auto"/>
                <w:sz w:val="18"/>
                <w:szCs w:val="18"/>
              </w:rPr>
            </w:pPr>
            <w:r>
              <w:rPr>
                <w:rFonts w:hint="eastAsia" w:cs="宋体"/>
                <w:color w:val="auto"/>
                <w:sz w:val="18"/>
                <w:szCs w:val="18"/>
              </w:rPr>
              <w:t>邮政编码：</w:t>
            </w:r>
          </w:p>
        </w:tc>
        <w:tc>
          <w:tcPr>
            <w:tcW w:w="3513" w:type="dxa"/>
            <w:vAlign w:val="center"/>
          </w:tcPr>
          <w:p>
            <w:pPr>
              <w:spacing w:line="400" w:lineRule="exact"/>
              <w:rPr>
                <w:color w:val="auto"/>
                <w:sz w:val="18"/>
                <w:szCs w:val="18"/>
                <w:u w:val="single"/>
              </w:rPr>
            </w:pPr>
            <w:r>
              <w:rPr>
                <w:rFonts w:hint="eastAsia"/>
                <w:color w:val="auto"/>
                <w:sz w:val="18"/>
                <w:szCs w:val="18"/>
                <w:u w:val="single"/>
              </w:rPr>
              <w:t>300457</w:t>
            </w:r>
          </w:p>
        </w:tc>
        <w:tc>
          <w:tcPr>
            <w:tcW w:w="1425" w:type="dxa"/>
            <w:vAlign w:val="center"/>
          </w:tcPr>
          <w:p>
            <w:pPr>
              <w:spacing w:line="400" w:lineRule="exact"/>
              <w:rPr>
                <w:color w:val="auto"/>
                <w:sz w:val="18"/>
                <w:szCs w:val="18"/>
              </w:rPr>
            </w:pPr>
            <w:r>
              <w:rPr>
                <w:rFonts w:hint="eastAsia" w:cs="宋体"/>
                <w:color w:val="auto"/>
                <w:sz w:val="18"/>
                <w:szCs w:val="18"/>
              </w:rPr>
              <w:t>邮政编码：</w:t>
            </w:r>
          </w:p>
        </w:tc>
        <w:tc>
          <w:tcPr>
            <w:tcW w:w="3882" w:type="dxa"/>
            <w:vAlign w:val="center"/>
          </w:tcPr>
          <w:p>
            <w:pPr>
              <w:spacing w:line="400" w:lineRule="exact"/>
              <w:rPr>
                <w:color w:val="auto"/>
                <w:sz w:val="18"/>
                <w:szCs w:val="18"/>
                <w:u w:val="single"/>
              </w:rPr>
            </w:pPr>
            <w:r>
              <w:rPr>
                <w:rFonts w:hint="eastAsia"/>
                <w:color w:val="auto"/>
                <w:sz w:val="18"/>
                <w:szCs w:val="18"/>
                <w:u w:val="single"/>
              </w:rPr>
              <w:t>300457</w:t>
            </w:r>
          </w:p>
        </w:tc>
      </w:tr>
      <w:tr>
        <w:tblPrEx>
          <w:tblCellMar>
            <w:top w:w="0" w:type="dxa"/>
            <w:left w:w="108" w:type="dxa"/>
            <w:bottom w:w="0" w:type="dxa"/>
            <w:right w:w="108" w:type="dxa"/>
          </w:tblCellMar>
        </w:tblPrEx>
        <w:trPr>
          <w:trHeight w:val="420" w:hRule="atLeast"/>
        </w:trPr>
        <w:tc>
          <w:tcPr>
            <w:tcW w:w="1242" w:type="dxa"/>
            <w:vAlign w:val="center"/>
          </w:tcPr>
          <w:p>
            <w:pPr>
              <w:spacing w:line="400" w:lineRule="exact"/>
              <w:rPr>
                <w:color w:val="auto"/>
                <w:sz w:val="18"/>
                <w:szCs w:val="18"/>
              </w:rPr>
            </w:pPr>
            <w:r>
              <w:rPr>
                <w:rFonts w:hint="eastAsia" w:cs="宋体"/>
                <w:color w:val="auto"/>
                <w:sz w:val="18"/>
                <w:szCs w:val="18"/>
              </w:rPr>
              <w:t>电话：</w:t>
            </w:r>
          </w:p>
        </w:tc>
        <w:tc>
          <w:tcPr>
            <w:tcW w:w="3513" w:type="dxa"/>
            <w:vAlign w:val="center"/>
          </w:tcPr>
          <w:p>
            <w:pPr>
              <w:spacing w:line="400" w:lineRule="exact"/>
              <w:rPr>
                <w:color w:val="auto"/>
                <w:sz w:val="18"/>
                <w:szCs w:val="18"/>
                <w:u w:val="single"/>
              </w:rPr>
            </w:pPr>
            <w:r>
              <w:rPr>
                <w:rFonts w:hint="eastAsia"/>
                <w:color w:val="auto"/>
                <w:sz w:val="18"/>
                <w:szCs w:val="18"/>
                <w:u w:val="single"/>
              </w:rPr>
              <w:t>022-65270857</w:t>
            </w:r>
          </w:p>
        </w:tc>
        <w:tc>
          <w:tcPr>
            <w:tcW w:w="1425" w:type="dxa"/>
            <w:vAlign w:val="center"/>
          </w:tcPr>
          <w:p>
            <w:pPr>
              <w:spacing w:line="400" w:lineRule="exact"/>
              <w:rPr>
                <w:color w:val="auto"/>
                <w:sz w:val="18"/>
                <w:szCs w:val="18"/>
              </w:rPr>
            </w:pPr>
            <w:r>
              <w:rPr>
                <w:rFonts w:hint="eastAsia" w:cs="宋体"/>
                <w:color w:val="auto"/>
                <w:sz w:val="18"/>
                <w:szCs w:val="18"/>
              </w:rPr>
              <w:t>电话：</w:t>
            </w:r>
          </w:p>
        </w:tc>
        <w:tc>
          <w:tcPr>
            <w:tcW w:w="3882" w:type="dxa"/>
            <w:vAlign w:val="center"/>
          </w:tcPr>
          <w:p>
            <w:pPr>
              <w:spacing w:line="400" w:lineRule="exact"/>
              <w:rPr>
                <w:color w:val="auto"/>
                <w:sz w:val="18"/>
                <w:szCs w:val="18"/>
                <w:u w:val="single"/>
              </w:rPr>
            </w:pPr>
            <w:r>
              <w:rPr>
                <w:rFonts w:hint="eastAsia"/>
                <w:color w:val="auto"/>
                <w:sz w:val="18"/>
                <w:szCs w:val="18"/>
                <w:u w:val="single"/>
              </w:rPr>
              <w:t>022-65270851</w:t>
            </w:r>
          </w:p>
        </w:tc>
      </w:tr>
      <w:tr>
        <w:tblPrEx>
          <w:tblCellMar>
            <w:top w:w="0" w:type="dxa"/>
            <w:left w:w="108" w:type="dxa"/>
            <w:bottom w:w="0" w:type="dxa"/>
            <w:right w:w="108" w:type="dxa"/>
          </w:tblCellMar>
        </w:tblPrEx>
        <w:trPr>
          <w:trHeight w:val="420" w:hRule="atLeast"/>
        </w:trPr>
        <w:tc>
          <w:tcPr>
            <w:tcW w:w="1242" w:type="dxa"/>
            <w:vAlign w:val="center"/>
          </w:tcPr>
          <w:p>
            <w:pPr>
              <w:spacing w:line="400" w:lineRule="exact"/>
              <w:rPr>
                <w:color w:val="auto"/>
                <w:sz w:val="18"/>
                <w:szCs w:val="18"/>
              </w:rPr>
            </w:pPr>
            <w:r>
              <w:rPr>
                <w:rFonts w:hint="eastAsia" w:cs="宋体"/>
                <w:color w:val="auto"/>
                <w:sz w:val="18"/>
                <w:szCs w:val="18"/>
              </w:rPr>
              <w:t>传真：</w:t>
            </w:r>
          </w:p>
        </w:tc>
        <w:tc>
          <w:tcPr>
            <w:tcW w:w="3513" w:type="dxa"/>
            <w:vAlign w:val="center"/>
          </w:tcPr>
          <w:p>
            <w:pPr>
              <w:spacing w:line="400" w:lineRule="exact"/>
              <w:rPr>
                <w:color w:val="auto"/>
                <w:sz w:val="18"/>
                <w:szCs w:val="18"/>
                <w:u w:val="single"/>
              </w:rPr>
            </w:pPr>
            <w:r>
              <w:rPr>
                <w:rFonts w:hint="eastAsia"/>
                <w:color w:val="auto"/>
                <w:sz w:val="18"/>
                <w:szCs w:val="18"/>
                <w:u w:val="single"/>
              </w:rPr>
              <w:t>022-65270857</w:t>
            </w:r>
          </w:p>
        </w:tc>
        <w:tc>
          <w:tcPr>
            <w:tcW w:w="1425" w:type="dxa"/>
            <w:vAlign w:val="center"/>
          </w:tcPr>
          <w:p>
            <w:pPr>
              <w:spacing w:line="400" w:lineRule="exact"/>
              <w:rPr>
                <w:color w:val="auto"/>
                <w:sz w:val="18"/>
                <w:szCs w:val="18"/>
              </w:rPr>
            </w:pPr>
            <w:r>
              <w:rPr>
                <w:rFonts w:hint="eastAsia" w:cs="宋体"/>
                <w:color w:val="auto"/>
                <w:sz w:val="18"/>
                <w:szCs w:val="18"/>
              </w:rPr>
              <w:t>传真：</w:t>
            </w:r>
          </w:p>
        </w:tc>
        <w:tc>
          <w:tcPr>
            <w:tcW w:w="3882" w:type="dxa"/>
            <w:vAlign w:val="center"/>
          </w:tcPr>
          <w:p>
            <w:pPr>
              <w:spacing w:line="400" w:lineRule="exact"/>
              <w:rPr>
                <w:color w:val="auto"/>
                <w:sz w:val="18"/>
                <w:szCs w:val="18"/>
                <w:u w:val="single"/>
              </w:rPr>
            </w:pPr>
            <w:r>
              <w:rPr>
                <w:rFonts w:hint="eastAsia"/>
                <w:color w:val="auto"/>
                <w:sz w:val="18"/>
                <w:szCs w:val="18"/>
                <w:u w:val="single"/>
              </w:rPr>
              <w:t>022-65270851</w:t>
            </w:r>
          </w:p>
        </w:tc>
      </w:tr>
      <w:tr>
        <w:tblPrEx>
          <w:tblCellMar>
            <w:top w:w="0" w:type="dxa"/>
            <w:left w:w="108" w:type="dxa"/>
            <w:bottom w:w="0" w:type="dxa"/>
            <w:right w:w="108" w:type="dxa"/>
          </w:tblCellMar>
        </w:tblPrEx>
        <w:trPr>
          <w:trHeight w:val="420" w:hRule="atLeast"/>
        </w:trPr>
        <w:tc>
          <w:tcPr>
            <w:tcW w:w="1242" w:type="dxa"/>
            <w:vAlign w:val="center"/>
          </w:tcPr>
          <w:p>
            <w:pPr>
              <w:spacing w:line="400" w:lineRule="exact"/>
              <w:rPr>
                <w:color w:val="auto"/>
                <w:sz w:val="18"/>
                <w:szCs w:val="18"/>
              </w:rPr>
            </w:pPr>
            <w:r>
              <w:rPr>
                <w:rFonts w:hint="eastAsia" w:cs="宋体"/>
                <w:color w:val="auto"/>
                <w:sz w:val="18"/>
                <w:szCs w:val="18"/>
              </w:rPr>
              <w:t>联系人：</w:t>
            </w:r>
          </w:p>
        </w:tc>
        <w:tc>
          <w:tcPr>
            <w:tcW w:w="3513" w:type="dxa"/>
            <w:vAlign w:val="center"/>
          </w:tcPr>
          <w:p>
            <w:pPr>
              <w:spacing w:line="400" w:lineRule="exact"/>
              <w:rPr>
                <w:color w:val="auto"/>
                <w:sz w:val="18"/>
                <w:szCs w:val="18"/>
                <w:u w:val="single"/>
              </w:rPr>
            </w:pPr>
            <w:r>
              <w:rPr>
                <w:rFonts w:hint="eastAsia" w:cs="宋体"/>
                <w:color w:val="auto"/>
                <w:sz w:val="18"/>
                <w:szCs w:val="18"/>
                <w:u w:val="single"/>
              </w:rPr>
              <w:t>路晓磊</w:t>
            </w:r>
          </w:p>
        </w:tc>
        <w:tc>
          <w:tcPr>
            <w:tcW w:w="1425" w:type="dxa"/>
            <w:vAlign w:val="center"/>
          </w:tcPr>
          <w:p>
            <w:pPr>
              <w:spacing w:line="400" w:lineRule="exact"/>
              <w:rPr>
                <w:color w:val="auto"/>
                <w:sz w:val="18"/>
                <w:szCs w:val="18"/>
              </w:rPr>
            </w:pPr>
            <w:r>
              <w:rPr>
                <w:rFonts w:hint="eastAsia" w:cs="宋体"/>
                <w:color w:val="auto"/>
                <w:sz w:val="18"/>
                <w:szCs w:val="18"/>
              </w:rPr>
              <w:t>联系人：</w:t>
            </w:r>
          </w:p>
        </w:tc>
        <w:tc>
          <w:tcPr>
            <w:tcW w:w="3882" w:type="dxa"/>
            <w:vAlign w:val="center"/>
          </w:tcPr>
          <w:p>
            <w:pPr>
              <w:spacing w:line="400" w:lineRule="exact"/>
              <w:rPr>
                <w:color w:val="auto"/>
                <w:sz w:val="18"/>
                <w:szCs w:val="18"/>
                <w:u w:val="single"/>
              </w:rPr>
            </w:pPr>
            <w:r>
              <w:rPr>
                <w:rFonts w:hint="eastAsia"/>
                <w:color w:val="auto"/>
                <w:sz w:val="18"/>
                <w:szCs w:val="18"/>
                <w:u w:val="single"/>
              </w:rPr>
              <w:t>温欣</w:t>
            </w:r>
          </w:p>
        </w:tc>
      </w:tr>
      <w:tr>
        <w:tblPrEx>
          <w:tblCellMar>
            <w:top w:w="0" w:type="dxa"/>
            <w:left w:w="108" w:type="dxa"/>
            <w:bottom w:w="0" w:type="dxa"/>
            <w:right w:w="108" w:type="dxa"/>
          </w:tblCellMar>
        </w:tblPrEx>
        <w:trPr>
          <w:trHeight w:val="420" w:hRule="atLeast"/>
        </w:trPr>
        <w:tc>
          <w:tcPr>
            <w:tcW w:w="1242" w:type="dxa"/>
            <w:vAlign w:val="center"/>
          </w:tcPr>
          <w:p>
            <w:pPr>
              <w:spacing w:line="400" w:lineRule="exact"/>
              <w:rPr>
                <w:color w:val="auto"/>
                <w:sz w:val="18"/>
                <w:szCs w:val="18"/>
              </w:rPr>
            </w:pPr>
            <w:r>
              <w:rPr>
                <w:rFonts w:hint="eastAsia" w:cs="宋体"/>
                <w:color w:val="auto"/>
                <w:sz w:val="18"/>
                <w:szCs w:val="18"/>
              </w:rPr>
              <w:t>电子邮件：</w:t>
            </w:r>
          </w:p>
        </w:tc>
        <w:tc>
          <w:tcPr>
            <w:tcW w:w="3513" w:type="dxa"/>
            <w:vAlign w:val="center"/>
          </w:tcPr>
          <w:p>
            <w:pPr>
              <w:spacing w:line="400" w:lineRule="exact"/>
              <w:rPr>
                <w:color w:val="auto"/>
                <w:sz w:val="18"/>
                <w:szCs w:val="18"/>
                <w:u w:val="single"/>
              </w:rPr>
            </w:pPr>
            <w:r>
              <w:rPr>
                <w:color w:val="auto"/>
                <w:sz w:val="18"/>
                <w:szCs w:val="18"/>
                <w:u w:val="single"/>
              </w:rPr>
              <w:t>/</w:t>
            </w:r>
          </w:p>
        </w:tc>
        <w:tc>
          <w:tcPr>
            <w:tcW w:w="1425" w:type="dxa"/>
            <w:vAlign w:val="center"/>
          </w:tcPr>
          <w:p>
            <w:pPr>
              <w:spacing w:line="400" w:lineRule="exact"/>
              <w:rPr>
                <w:color w:val="auto"/>
                <w:sz w:val="18"/>
                <w:szCs w:val="18"/>
              </w:rPr>
            </w:pPr>
            <w:r>
              <w:rPr>
                <w:rFonts w:hint="eastAsia" w:cs="宋体"/>
                <w:color w:val="auto"/>
                <w:sz w:val="18"/>
                <w:szCs w:val="18"/>
              </w:rPr>
              <w:t>电子邮件：</w:t>
            </w:r>
          </w:p>
        </w:tc>
        <w:tc>
          <w:tcPr>
            <w:tcW w:w="3882" w:type="dxa"/>
            <w:vAlign w:val="center"/>
          </w:tcPr>
          <w:p>
            <w:pPr>
              <w:spacing w:line="400" w:lineRule="exact"/>
              <w:rPr>
                <w:color w:val="auto"/>
                <w:sz w:val="18"/>
                <w:szCs w:val="18"/>
                <w:u w:val="single"/>
              </w:rPr>
            </w:pPr>
            <w:r>
              <w:rPr>
                <w:rFonts w:hint="eastAsia"/>
                <w:color w:val="auto"/>
                <w:sz w:val="18"/>
                <w:szCs w:val="18"/>
                <w:u w:val="single"/>
              </w:rPr>
              <w:t>chengtouzixun@163.com</w:t>
            </w:r>
          </w:p>
        </w:tc>
      </w:tr>
      <w:tr>
        <w:tblPrEx>
          <w:tblCellMar>
            <w:top w:w="0" w:type="dxa"/>
            <w:left w:w="108" w:type="dxa"/>
            <w:bottom w:w="0" w:type="dxa"/>
            <w:right w:w="108" w:type="dxa"/>
          </w:tblCellMar>
        </w:tblPrEx>
        <w:trPr>
          <w:trHeight w:val="420" w:hRule="atLeast"/>
        </w:trPr>
        <w:tc>
          <w:tcPr>
            <w:tcW w:w="1242" w:type="dxa"/>
            <w:vAlign w:val="center"/>
          </w:tcPr>
          <w:p>
            <w:pPr>
              <w:spacing w:line="400" w:lineRule="exact"/>
              <w:rPr>
                <w:color w:val="auto"/>
                <w:sz w:val="18"/>
                <w:szCs w:val="18"/>
              </w:rPr>
            </w:pPr>
            <w:r>
              <w:rPr>
                <w:rFonts w:hint="eastAsia" w:cs="宋体"/>
                <w:color w:val="auto"/>
                <w:sz w:val="18"/>
                <w:szCs w:val="18"/>
              </w:rPr>
              <w:t>网址</w:t>
            </w:r>
            <w:r>
              <w:rPr>
                <w:color w:val="auto"/>
                <w:sz w:val="18"/>
                <w:szCs w:val="18"/>
              </w:rPr>
              <w:t>:</w:t>
            </w:r>
          </w:p>
        </w:tc>
        <w:tc>
          <w:tcPr>
            <w:tcW w:w="3513" w:type="dxa"/>
            <w:vAlign w:val="center"/>
          </w:tcPr>
          <w:p>
            <w:pPr>
              <w:spacing w:line="400" w:lineRule="exact"/>
              <w:rPr>
                <w:color w:val="auto"/>
                <w:sz w:val="18"/>
                <w:szCs w:val="18"/>
                <w:u w:val="single"/>
              </w:rPr>
            </w:pPr>
            <w:r>
              <w:rPr>
                <w:color w:val="auto"/>
                <w:sz w:val="18"/>
                <w:szCs w:val="18"/>
                <w:u w:val="single"/>
              </w:rPr>
              <w:t>/</w:t>
            </w:r>
          </w:p>
        </w:tc>
        <w:tc>
          <w:tcPr>
            <w:tcW w:w="1425" w:type="dxa"/>
            <w:vAlign w:val="center"/>
          </w:tcPr>
          <w:p>
            <w:pPr>
              <w:spacing w:line="400" w:lineRule="exact"/>
              <w:rPr>
                <w:color w:val="auto"/>
                <w:sz w:val="18"/>
                <w:szCs w:val="18"/>
              </w:rPr>
            </w:pPr>
            <w:r>
              <w:rPr>
                <w:rFonts w:hint="eastAsia" w:cs="宋体"/>
                <w:color w:val="auto"/>
                <w:sz w:val="18"/>
                <w:szCs w:val="18"/>
              </w:rPr>
              <w:t>网址</w:t>
            </w:r>
            <w:r>
              <w:rPr>
                <w:color w:val="auto"/>
                <w:sz w:val="18"/>
                <w:szCs w:val="18"/>
              </w:rPr>
              <w:t>:</w:t>
            </w:r>
          </w:p>
        </w:tc>
        <w:tc>
          <w:tcPr>
            <w:tcW w:w="3882" w:type="dxa"/>
            <w:vAlign w:val="center"/>
          </w:tcPr>
          <w:p>
            <w:pPr>
              <w:spacing w:line="400" w:lineRule="exact"/>
              <w:rPr>
                <w:color w:val="auto"/>
                <w:sz w:val="18"/>
                <w:szCs w:val="18"/>
                <w:u w:val="single"/>
              </w:rPr>
            </w:pPr>
          </w:p>
        </w:tc>
      </w:tr>
      <w:tr>
        <w:tblPrEx>
          <w:tblCellMar>
            <w:top w:w="0" w:type="dxa"/>
            <w:left w:w="108" w:type="dxa"/>
            <w:bottom w:w="0" w:type="dxa"/>
            <w:right w:w="108" w:type="dxa"/>
          </w:tblCellMar>
        </w:tblPrEx>
        <w:trPr>
          <w:trHeight w:val="420" w:hRule="atLeast"/>
        </w:trPr>
        <w:tc>
          <w:tcPr>
            <w:tcW w:w="1242" w:type="dxa"/>
            <w:vAlign w:val="center"/>
          </w:tcPr>
          <w:p>
            <w:pPr>
              <w:spacing w:line="400" w:lineRule="exact"/>
              <w:rPr>
                <w:color w:val="auto"/>
                <w:sz w:val="18"/>
                <w:szCs w:val="18"/>
              </w:rPr>
            </w:pPr>
            <w:r>
              <w:rPr>
                <w:rFonts w:hint="eastAsia" w:cs="宋体"/>
                <w:color w:val="auto"/>
                <w:sz w:val="18"/>
                <w:szCs w:val="18"/>
              </w:rPr>
              <w:t>开户银行：</w:t>
            </w:r>
          </w:p>
        </w:tc>
        <w:tc>
          <w:tcPr>
            <w:tcW w:w="3513" w:type="dxa"/>
            <w:vAlign w:val="center"/>
          </w:tcPr>
          <w:p>
            <w:pPr>
              <w:spacing w:line="400" w:lineRule="exact"/>
              <w:rPr>
                <w:color w:val="auto"/>
                <w:sz w:val="18"/>
                <w:szCs w:val="18"/>
                <w:u w:val="single"/>
              </w:rPr>
            </w:pPr>
            <w:r>
              <w:rPr>
                <w:color w:val="auto"/>
                <w:sz w:val="18"/>
                <w:szCs w:val="18"/>
                <w:u w:val="single"/>
              </w:rPr>
              <w:t>/</w:t>
            </w:r>
          </w:p>
        </w:tc>
        <w:tc>
          <w:tcPr>
            <w:tcW w:w="1425" w:type="dxa"/>
            <w:vAlign w:val="center"/>
          </w:tcPr>
          <w:p>
            <w:pPr>
              <w:spacing w:line="400" w:lineRule="exact"/>
              <w:rPr>
                <w:color w:val="auto"/>
                <w:sz w:val="18"/>
                <w:szCs w:val="18"/>
              </w:rPr>
            </w:pPr>
            <w:r>
              <w:rPr>
                <w:rFonts w:hint="eastAsia" w:cs="宋体"/>
                <w:color w:val="auto"/>
                <w:sz w:val="18"/>
                <w:szCs w:val="18"/>
              </w:rPr>
              <w:t>开户银行：</w:t>
            </w:r>
          </w:p>
        </w:tc>
        <w:tc>
          <w:tcPr>
            <w:tcW w:w="3882" w:type="dxa"/>
            <w:vAlign w:val="center"/>
          </w:tcPr>
          <w:p>
            <w:pPr>
              <w:spacing w:line="400" w:lineRule="exact"/>
              <w:rPr>
                <w:color w:val="auto"/>
                <w:sz w:val="18"/>
                <w:szCs w:val="18"/>
                <w:u w:val="single"/>
              </w:rPr>
            </w:pPr>
            <w:r>
              <w:rPr>
                <w:rFonts w:hint="eastAsia" w:cs="宋体"/>
                <w:color w:val="auto"/>
                <w:sz w:val="18"/>
                <w:szCs w:val="18"/>
                <w:u w:val="single"/>
              </w:rPr>
              <w:t>建设银行天津和平路支行</w:t>
            </w:r>
          </w:p>
        </w:tc>
      </w:tr>
      <w:tr>
        <w:tblPrEx>
          <w:tblCellMar>
            <w:top w:w="0" w:type="dxa"/>
            <w:left w:w="108" w:type="dxa"/>
            <w:bottom w:w="0" w:type="dxa"/>
            <w:right w:w="108" w:type="dxa"/>
          </w:tblCellMar>
        </w:tblPrEx>
        <w:trPr>
          <w:trHeight w:val="420" w:hRule="atLeast"/>
        </w:trPr>
        <w:tc>
          <w:tcPr>
            <w:tcW w:w="1242" w:type="dxa"/>
            <w:vAlign w:val="center"/>
          </w:tcPr>
          <w:p>
            <w:pPr>
              <w:spacing w:line="400" w:lineRule="exact"/>
              <w:rPr>
                <w:color w:val="auto"/>
                <w:sz w:val="18"/>
                <w:szCs w:val="18"/>
              </w:rPr>
            </w:pPr>
            <w:r>
              <w:rPr>
                <w:rFonts w:hint="eastAsia" w:cs="宋体"/>
                <w:color w:val="auto"/>
                <w:sz w:val="18"/>
                <w:szCs w:val="18"/>
              </w:rPr>
              <w:t>帐号</w:t>
            </w:r>
            <w:r>
              <w:rPr>
                <w:color w:val="auto"/>
                <w:sz w:val="18"/>
                <w:szCs w:val="18"/>
              </w:rPr>
              <w:t>:</w:t>
            </w:r>
          </w:p>
        </w:tc>
        <w:tc>
          <w:tcPr>
            <w:tcW w:w="3513" w:type="dxa"/>
            <w:vAlign w:val="center"/>
          </w:tcPr>
          <w:p>
            <w:pPr>
              <w:spacing w:line="400" w:lineRule="exact"/>
              <w:rPr>
                <w:color w:val="auto"/>
                <w:sz w:val="18"/>
                <w:szCs w:val="18"/>
                <w:u w:val="single"/>
              </w:rPr>
            </w:pPr>
            <w:r>
              <w:rPr>
                <w:color w:val="auto"/>
                <w:sz w:val="18"/>
                <w:szCs w:val="18"/>
                <w:u w:val="single"/>
              </w:rPr>
              <w:t>/</w:t>
            </w:r>
          </w:p>
        </w:tc>
        <w:tc>
          <w:tcPr>
            <w:tcW w:w="1425" w:type="dxa"/>
            <w:vAlign w:val="center"/>
          </w:tcPr>
          <w:p>
            <w:pPr>
              <w:spacing w:line="400" w:lineRule="exact"/>
              <w:rPr>
                <w:color w:val="auto"/>
                <w:sz w:val="18"/>
                <w:szCs w:val="18"/>
              </w:rPr>
            </w:pPr>
            <w:r>
              <w:rPr>
                <w:rFonts w:hint="eastAsia" w:cs="宋体"/>
                <w:color w:val="auto"/>
                <w:sz w:val="18"/>
                <w:szCs w:val="18"/>
              </w:rPr>
              <w:t>帐号</w:t>
            </w:r>
            <w:r>
              <w:rPr>
                <w:color w:val="auto"/>
                <w:sz w:val="18"/>
                <w:szCs w:val="18"/>
              </w:rPr>
              <w:t>:</w:t>
            </w:r>
          </w:p>
        </w:tc>
        <w:tc>
          <w:tcPr>
            <w:tcW w:w="3882" w:type="dxa"/>
            <w:vAlign w:val="center"/>
          </w:tcPr>
          <w:p>
            <w:pPr>
              <w:spacing w:line="400" w:lineRule="exact"/>
              <w:rPr>
                <w:color w:val="auto"/>
                <w:sz w:val="18"/>
                <w:szCs w:val="18"/>
                <w:u w:val="single"/>
              </w:rPr>
            </w:pPr>
            <w:r>
              <w:rPr>
                <w:rFonts w:hint="eastAsia"/>
                <w:color w:val="auto"/>
                <w:sz w:val="18"/>
                <w:szCs w:val="18"/>
                <w:u w:val="single"/>
              </w:rPr>
              <w:t>12001675001050002729</w:t>
            </w:r>
          </w:p>
        </w:tc>
      </w:tr>
      <w:tr>
        <w:tblPrEx>
          <w:tblCellMar>
            <w:top w:w="0" w:type="dxa"/>
            <w:left w:w="108" w:type="dxa"/>
            <w:bottom w:w="0" w:type="dxa"/>
            <w:right w:w="108" w:type="dxa"/>
          </w:tblCellMar>
        </w:tblPrEx>
        <w:trPr>
          <w:trHeight w:val="420" w:hRule="atLeast"/>
        </w:trPr>
        <w:tc>
          <w:tcPr>
            <w:tcW w:w="1242" w:type="dxa"/>
            <w:vAlign w:val="center"/>
          </w:tcPr>
          <w:p>
            <w:pPr>
              <w:spacing w:line="400" w:lineRule="exact"/>
              <w:rPr>
                <w:color w:val="auto"/>
                <w:sz w:val="18"/>
                <w:szCs w:val="18"/>
              </w:rPr>
            </w:pPr>
          </w:p>
        </w:tc>
        <w:tc>
          <w:tcPr>
            <w:tcW w:w="3513" w:type="dxa"/>
            <w:vAlign w:val="center"/>
          </w:tcPr>
          <w:p>
            <w:pPr>
              <w:spacing w:line="400" w:lineRule="exact"/>
              <w:rPr>
                <w:color w:val="auto"/>
                <w:sz w:val="18"/>
                <w:szCs w:val="18"/>
                <w:u w:val="single"/>
              </w:rPr>
            </w:pPr>
          </w:p>
        </w:tc>
        <w:tc>
          <w:tcPr>
            <w:tcW w:w="1425" w:type="dxa"/>
            <w:vAlign w:val="center"/>
          </w:tcPr>
          <w:p>
            <w:pPr>
              <w:spacing w:line="400" w:lineRule="exact"/>
              <w:rPr>
                <w:color w:val="auto"/>
                <w:sz w:val="18"/>
                <w:szCs w:val="18"/>
              </w:rPr>
            </w:pPr>
          </w:p>
        </w:tc>
        <w:tc>
          <w:tcPr>
            <w:tcW w:w="3882" w:type="dxa"/>
            <w:vAlign w:val="center"/>
          </w:tcPr>
          <w:p>
            <w:pPr>
              <w:spacing w:line="400" w:lineRule="exact"/>
              <w:rPr>
                <w:color w:val="auto"/>
                <w:sz w:val="18"/>
                <w:szCs w:val="18"/>
                <w:u w:val="single"/>
              </w:rPr>
            </w:pPr>
            <w:r>
              <w:rPr>
                <w:color w:val="auto"/>
                <w:sz w:val="18"/>
                <w:szCs w:val="18"/>
                <w:u w:val="single"/>
              </w:rPr>
              <w:t>20</w:t>
            </w:r>
            <w:r>
              <w:rPr>
                <w:rFonts w:hint="eastAsia"/>
                <w:color w:val="auto"/>
                <w:sz w:val="18"/>
                <w:szCs w:val="18"/>
                <w:u w:val="single"/>
              </w:rPr>
              <w:t>22</w:t>
            </w:r>
            <w:r>
              <w:rPr>
                <w:rFonts w:hint="eastAsia" w:cs="宋体"/>
                <w:color w:val="auto"/>
                <w:sz w:val="18"/>
                <w:szCs w:val="18"/>
                <w:u w:val="single"/>
              </w:rPr>
              <w:t>年4月</w:t>
            </w:r>
            <w:r>
              <w:rPr>
                <w:rFonts w:hint="eastAsia" w:cs="宋体"/>
                <w:color w:val="auto"/>
                <w:sz w:val="18"/>
                <w:szCs w:val="18"/>
                <w:u w:val="single"/>
                <w:lang w:val="en-US" w:eastAsia="zh-CN"/>
              </w:rPr>
              <w:t>28</w:t>
            </w:r>
            <w:r>
              <w:rPr>
                <w:rFonts w:hint="eastAsia" w:cs="宋体"/>
                <w:color w:val="auto"/>
                <w:sz w:val="18"/>
                <w:szCs w:val="18"/>
                <w:u w:val="single"/>
              </w:rPr>
              <w:t>日</w:t>
            </w:r>
          </w:p>
        </w:tc>
      </w:tr>
    </w:tbl>
    <w:p>
      <w:pPr>
        <w:spacing w:line="360" w:lineRule="auto"/>
        <w:jc w:val="right"/>
        <w:rPr>
          <w:rFonts w:cs="Times New Roman"/>
          <w:color w:val="auto"/>
          <w:sz w:val="24"/>
          <w:szCs w:val="24"/>
        </w:rPr>
      </w:pPr>
    </w:p>
    <w:p>
      <w:pPr>
        <w:spacing w:line="360" w:lineRule="auto"/>
        <w:jc w:val="center"/>
        <w:rPr>
          <w:rFonts w:cs="Times New Roman"/>
          <w:color w:val="auto"/>
        </w:rPr>
      </w:pPr>
      <w:r>
        <w:rPr>
          <w:rFonts w:cs="Times New Roman"/>
          <w:color w:val="auto"/>
          <w:sz w:val="24"/>
          <w:szCs w:val="24"/>
        </w:rPr>
        <w:br w:type="page"/>
      </w:r>
      <w:bookmarkStart w:id="1" w:name="_Toc514059667"/>
      <w:r>
        <w:rPr>
          <w:rFonts w:hint="eastAsia"/>
          <w:b/>
          <w:bCs/>
          <w:color w:val="auto"/>
          <w:sz w:val="28"/>
          <w:szCs w:val="28"/>
        </w:rPr>
        <w:t>第二章投标人须知</w:t>
      </w:r>
      <w:bookmarkEnd w:id="1"/>
    </w:p>
    <w:p>
      <w:pPr>
        <w:autoSpaceDE w:val="0"/>
        <w:autoSpaceDN w:val="0"/>
        <w:adjustRightInd w:val="0"/>
        <w:spacing w:line="300" w:lineRule="atLeast"/>
        <w:jc w:val="left"/>
        <w:rPr>
          <w:rFonts w:ascii="黑体" w:eastAsia="黑体" w:cs="Times New Roman"/>
          <w:b/>
          <w:bCs/>
          <w:color w:val="auto"/>
          <w:kern w:val="0"/>
          <w:sz w:val="14"/>
          <w:szCs w:val="14"/>
        </w:rPr>
      </w:pPr>
      <w:r>
        <w:rPr>
          <w:rFonts w:hint="eastAsia" w:ascii="黑体" w:eastAsia="黑体" w:cs="黑体"/>
          <w:b/>
          <w:bCs/>
          <w:color w:val="auto"/>
          <w:kern w:val="0"/>
          <w:sz w:val="28"/>
          <w:szCs w:val="28"/>
        </w:rPr>
        <w:t>投标人须知前附表</w:t>
      </w:r>
    </w:p>
    <w:tbl>
      <w:tblPr>
        <w:tblStyle w:val="20"/>
        <w:tblW w:w="96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4"/>
        <w:gridCol w:w="2820"/>
        <w:gridCol w:w="583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7" w:hRule="atLeast"/>
          <w:jc w:val="center"/>
        </w:trPr>
        <w:tc>
          <w:tcPr>
            <w:tcW w:w="944" w:type="dxa"/>
            <w:tcBorders>
              <w:top w:val="single" w:color="auto" w:sz="12" w:space="0"/>
            </w:tcBorders>
            <w:vAlign w:val="center"/>
          </w:tcPr>
          <w:p>
            <w:pPr>
              <w:autoSpaceDE w:val="0"/>
              <w:autoSpaceDN w:val="0"/>
              <w:adjustRightInd w:val="0"/>
              <w:snapToGrid w:val="0"/>
              <w:ind w:left="-92" w:leftChars="-44" w:right="-107" w:rightChars="-51"/>
              <w:jc w:val="center"/>
              <w:rPr>
                <w:rFonts w:cs="Times New Roman"/>
                <w:b/>
                <w:bCs/>
                <w:color w:val="auto"/>
                <w:kern w:val="0"/>
              </w:rPr>
            </w:pPr>
            <w:r>
              <w:rPr>
                <w:rFonts w:hint="eastAsia" w:cs="宋体"/>
                <w:b/>
                <w:bCs/>
                <w:color w:val="auto"/>
                <w:kern w:val="0"/>
              </w:rPr>
              <w:t>条款号</w:t>
            </w:r>
          </w:p>
        </w:tc>
        <w:tc>
          <w:tcPr>
            <w:tcW w:w="2820" w:type="dxa"/>
            <w:tcBorders>
              <w:top w:val="single" w:color="auto" w:sz="12" w:space="0"/>
            </w:tcBorders>
            <w:vAlign w:val="center"/>
          </w:tcPr>
          <w:p>
            <w:pPr>
              <w:autoSpaceDE w:val="0"/>
              <w:autoSpaceDN w:val="0"/>
              <w:adjustRightInd w:val="0"/>
              <w:snapToGrid w:val="0"/>
              <w:jc w:val="center"/>
              <w:rPr>
                <w:rFonts w:cs="Times New Roman"/>
                <w:b/>
                <w:bCs/>
                <w:color w:val="auto"/>
                <w:kern w:val="0"/>
              </w:rPr>
            </w:pPr>
            <w:r>
              <w:rPr>
                <w:rFonts w:hint="eastAsia" w:cs="宋体"/>
                <w:b/>
                <w:bCs/>
                <w:color w:val="auto"/>
                <w:kern w:val="0"/>
              </w:rPr>
              <w:t>条款名称</w:t>
            </w:r>
          </w:p>
        </w:tc>
        <w:tc>
          <w:tcPr>
            <w:tcW w:w="5836" w:type="dxa"/>
            <w:tcBorders>
              <w:top w:val="single" w:color="auto" w:sz="12" w:space="0"/>
            </w:tcBorders>
            <w:vAlign w:val="center"/>
          </w:tcPr>
          <w:p>
            <w:pPr>
              <w:autoSpaceDE w:val="0"/>
              <w:autoSpaceDN w:val="0"/>
              <w:adjustRightInd w:val="0"/>
              <w:snapToGrid w:val="0"/>
              <w:jc w:val="center"/>
              <w:rPr>
                <w:rFonts w:cs="Times New Roman"/>
                <w:b/>
                <w:bCs/>
                <w:color w:val="auto"/>
                <w:kern w:val="0"/>
              </w:rPr>
            </w:pPr>
            <w:r>
              <w:rPr>
                <w:rFonts w:hint="eastAsia" w:cs="宋体"/>
                <w:b/>
                <w:bCs/>
                <w:color w:val="auto"/>
                <w:kern w:val="0"/>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68" w:hRule="atLeast"/>
          <w:jc w:val="center"/>
        </w:trPr>
        <w:tc>
          <w:tcPr>
            <w:tcW w:w="944" w:type="dxa"/>
            <w:vAlign w:val="center"/>
          </w:tcPr>
          <w:p>
            <w:pPr>
              <w:autoSpaceDE w:val="0"/>
              <w:autoSpaceDN w:val="0"/>
              <w:adjustRightInd w:val="0"/>
              <w:spacing w:line="400" w:lineRule="atLeast"/>
              <w:jc w:val="center"/>
              <w:rPr>
                <w:rFonts w:eastAsia="黑体"/>
                <w:color w:val="auto"/>
                <w:kern w:val="0"/>
              </w:rPr>
            </w:pPr>
            <w:r>
              <w:rPr>
                <w:rFonts w:eastAsia="黑体"/>
                <w:color w:val="auto"/>
                <w:kern w:val="0"/>
              </w:rPr>
              <w:t>1.1.2</w:t>
            </w:r>
          </w:p>
        </w:tc>
        <w:tc>
          <w:tcPr>
            <w:tcW w:w="2820" w:type="dxa"/>
            <w:vAlign w:val="center"/>
          </w:tcPr>
          <w:p>
            <w:pPr>
              <w:autoSpaceDE w:val="0"/>
              <w:autoSpaceDN w:val="0"/>
              <w:snapToGrid w:val="0"/>
              <w:spacing w:line="400" w:lineRule="atLeast"/>
              <w:jc w:val="center"/>
              <w:rPr>
                <w:rFonts w:cs="Times New Roman"/>
                <w:color w:val="auto"/>
              </w:rPr>
            </w:pPr>
            <w:r>
              <w:rPr>
                <w:rFonts w:hint="eastAsia" w:cs="宋体"/>
                <w:color w:val="auto"/>
              </w:rPr>
              <w:t>招标人</w:t>
            </w:r>
          </w:p>
        </w:tc>
        <w:tc>
          <w:tcPr>
            <w:tcW w:w="5836" w:type="dxa"/>
            <w:vAlign w:val="center"/>
          </w:tcPr>
          <w:p>
            <w:pPr>
              <w:autoSpaceDE w:val="0"/>
              <w:autoSpaceDN w:val="0"/>
              <w:snapToGrid w:val="0"/>
              <w:spacing w:line="400" w:lineRule="atLeast"/>
              <w:rPr>
                <w:color w:val="auto"/>
              </w:rPr>
            </w:pPr>
            <w:r>
              <w:rPr>
                <w:rFonts w:hint="eastAsia" w:cs="宋体"/>
                <w:color w:val="auto"/>
              </w:rPr>
              <w:t>名称：天津市滨海新区城投建设发展有限公司</w:t>
            </w:r>
          </w:p>
          <w:p>
            <w:pPr>
              <w:autoSpaceDE w:val="0"/>
              <w:autoSpaceDN w:val="0"/>
              <w:snapToGrid w:val="0"/>
              <w:spacing w:line="400" w:lineRule="atLeast"/>
              <w:rPr>
                <w:rFonts w:cs="宋体"/>
                <w:color w:val="auto"/>
              </w:rPr>
            </w:pPr>
            <w:r>
              <w:rPr>
                <w:rFonts w:hint="eastAsia" w:cs="宋体"/>
                <w:color w:val="auto"/>
              </w:rPr>
              <w:t>地址：天津市滨海新区塘沽新港四号路136号</w:t>
            </w:r>
          </w:p>
          <w:p>
            <w:pPr>
              <w:autoSpaceDE w:val="0"/>
              <w:autoSpaceDN w:val="0"/>
              <w:snapToGrid w:val="0"/>
              <w:spacing w:line="400" w:lineRule="atLeast"/>
              <w:rPr>
                <w:rFonts w:cs="Times New Roman"/>
                <w:color w:val="auto"/>
              </w:rPr>
            </w:pPr>
            <w:r>
              <w:rPr>
                <w:rFonts w:hint="eastAsia" w:cs="宋体"/>
                <w:color w:val="auto"/>
              </w:rPr>
              <w:t>联系人：路晓磊</w:t>
            </w:r>
          </w:p>
          <w:p>
            <w:pPr>
              <w:autoSpaceDE w:val="0"/>
              <w:autoSpaceDN w:val="0"/>
              <w:snapToGrid w:val="0"/>
              <w:spacing w:line="400" w:lineRule="atLeast"/>
              <w:rPr>
                <w:rFonts w:cs="Times New Roman"/>
                <w:color w:val="auto"/>
              </w:rPr>
            </w:pPr>
            <w:r>
              <w:rPr>
                <w:rFonts w:hint="eastAsia" w:cs="宋体"/>
                <w:color w:val="auto"/>
              </w:rPr>
              <w:t>电话：022-65270877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50" w:hRule="atLeast"/>
          <w:jc w:val="center"/>
        </w:trPr>
        <w:tc>
          <w:tcPr>
            <w:tcW w:w="944" w:type="dxa"/>
            <w:vAlign w:val="center"/>
          </w:tcPr>
          <w:p>
            <w:pPr>
              <w:autoSpaceDE w:val="0"/>
              <w:autoSpaceDN w:val="0"/>
              <w:adjustRightInd w:val="0"/>
              <w:spacing w:line="400" w:lineRule="atLeast"/>
              <w:jc w:val="center"/>
              <w:rPr>
                <w:rFonts w:eastAsia="黑体"/>
                <w:color w:val="auto"/>
                <w:kern w:val="0"/>
              </w:rPr>
            </w:pPr>
            <w:r>
              <w:rPr>
                <w:rFonts w:eastAsia="黑体"/>
                <w:color w:val="auto"/>
                <w:kern w:val="0"/>
              </w:rPr>
              <w:t>1.1.3</w:t>
            </w:r>
          </w:p>
        </w:tc>
        <w:tc>
          <w:tcPr>
            <w:tcW w:w="2820" w:type="dxa"/>
            <w:vAlign w:val="center"/>
          </w:tcPr>
          <w:p>
            <w:pPr>
              <w:autoSpaceDE w:val="0"/>
              <w:autoSpaceDN w:val="0"/>
              <w:snapToGrid w:val="0"/>
              <w:spacing w:line="400" w:lineRule="atLeast"/>
              <w:ind w:firstLine="630" w:firstLineChars="300"/>
              <w:rPr>
                <w:color w:val="auto"/>
              </w:rPr>
            </w:pPr>
            <w:r>
              <w:rPr>
                <w:rFonts w:hint="eastAsia" w:cs="宋体"/>
                <w:color w:val="auto"/>
              </w:rPr>
              <w:t>招标代理机构</w:t>
            </w:r>
          </w:p>
        </w:tc>
        <w:tc>
          <w:tcPr>
            <w:tcW w:w="5836" w:type="dxa"/>
            <w:vAlign w:val="center"/>
          </w:tcPr>
          <w:p>
            <w:pPr>
              <w:autoSpaceDE w:val="0"/>
              <w:autoSpaceDN w:val="0"/>
              <w:snapToGrid w:val="0"/>
              <w:spacing w:line="400" w:lineRule="atLeast"/>
              <w:rPr>
                <w:rFonts w:cs="Times New Roman"/>
                <w:color w:val="auto"/>
              </w:rPr>
            </w:pPr>
            <w:r>
              <w:rPr>
                <w:rFonts w:hint="eastAsia" w:cs="宋体"/>
                <w:color w:val="auto"/>
              </w:rPr>
              <w:t>名称：天津市滨海新区城投工程咨询有限公司</w:t>
            </w:r>
          </w:p>
          <w:p>
            <w:pPr>
              <w:autoSpaceDE w:val="0"/>
              <w:autoSpaceDN w:val="0"/>
              <w:snapToGrid w:val="0"/>
              <w:spacing w:line="400" w:lineRule="atLeast"/>
              <w:rPr>
                <w:rFonts w:cs="Times New Roman"/>
                <w:color w:val="auto"/>
              </w:rPr>
            </w:pPr>
            <w:r>
              <w:rPr>
                <w:rFonts w:hint="eastAsia" w:cs="宋体"/>
                <w:color w:val="auto"/>
              </w:rPr>
              <w:t>地址：天津市滨海新区塘沽新港四号路136号三楼工程咨询公司</w:t>
            </w:r>
          </w:p>
          <w:p>
            <w:pPr>
              <w:autoSpaceDE w:val="0"/>
              <w:autoSpaceDN w:val="0"/>
              <w:snapToGrid w:val="0"/>
              <w:spacing w:line="400" w:lineRule="atLeast"/>
              <w:rPr>
                <w:rFonts w:cs="Times New Roman"/>
                <w:color w:val="auto"/>
              </w:rPr>
            </w:pPr>
            <w:r>
              <w:rPr>
                <w:rFonts w:hint="eastAsia" w:cs="宋体"/>
                <w:color w:val="auto"/>
              </w:rPr>
              <w:t>联系人：温欣</w:t>
            </w:r>
          </w:p>
          <w:p>
            <w:pPr>
              <w:autoSpaceDE w:val="0"/>
              <w:autoSpaceDN w:val="0"/>
              <w:snapToGrid w:val="0"/>
              <w:spacing w:line="400" w:lineRule="atLeast"/>
              <w:rPr>
                <w:color w:val="auto"/>
              </w:rPr>
            </w:pPr>
            <w:r>
              <w:rPr>
                <w:rFonts w:hint="eastAsia" w:cs="宋体"/>
                <w:color w:val="auto"/>
              </w:rPr>
              <w:t>电话：</w:t>
            </w:r>
            <w:r>
              <w:rPr>
                <w:rFonts w:hint="eastAsia"/>
                <w:color w:val="auto"/>
              </w:rPr>
              <w:t>022-65270851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944" w:type="dxa"/>
            <w:vAlign w:val="center"/>
          </w:tcPr>
          <w:p>
            <w:pPr>
              <w:autoSpaceDE w:val="0"/>
              <w:autoSpaceDN w:val="0"/>
              <w:adjustRightInd w:val="0"/>
              <w:spacing w:line="400" w:lineRule="atLeast"/>
              <w:jc w:val="center"/>
              <w:rPr>
                <w:rFonts w:eastAsia="黑体"/>
                <w:color w:val="auto"/>
                <w:kern w:val="0"/>
              </w:rPr>
            </w:pPr>
            <w:r>
              <w:rPr>
                <w:rFonts w:eastAsia="黑体"/>
                <w:color w:val="auto"/>
                <w:kern w:val="0"/>
              </w:rPr>
              <w:t>1.1.4</w:t>
            </w:r>
          </w:p>
        </w:tc>
        <w:tc>
          <w:tcPr>
            <w:tcW w:w="2820" w:type="dxa"/>
            <w:vAlign w:val="center"/>
          </w:tcPr>
          <w:p>
            <w:pPr>
              <w:autoSpaceDE w:val="0"/>
              <w:autoSpaceDN w:val="0"/>
              <w:adjustRightInd w:val="0"/>
              <w:spacing w:line="400" w:lineRule="atLeast"/>
              <w:jc w:val="center"/>
              <w:rPr>
                <w:rFonts w:cs="Times New Roman"/>
                <w:color w:val="auto"/>
                <w:kern w:val="0"/>
              </w:rPr>
            </w:pPr>
            <w:r>
              <w:rPr>
                <w:rFonts w:hint="eastAsia" w:cs="宋体"/>
                <w:color w:val="auto"/>
                <w:kern w:val="0"/>
              </w:rPr>
              <w:t>招标项目名称</w:t>
            </w:r>
          </w:p>
        </w:tc>
        <w:tc>
          <w:tcPr>
            <w:tcW w:w="5836" w:type="dxa"/>
            <w:vAlign w:val="center"/>
          </w:tcPr>
          <w:p>
            <w:pPr>
              <w:pStyle w:val="50"/>
              <w:spacing w:line="360" w:lineRule="auto"/>
              <w:rPr>
                <w:rFonts w:hint="eastAsia" w:hAnsi="Times New Roman" w:eastAsia="宋体" w:cs="Times New Roman"/>
                <w:color w:val="auto"/>
                <w:lang w:eastAsia="zh-CN"/>
              </w:rPr>
            </w:pPr>
            <w:r>
              <w:rPr>
                <w:rFonts w:hint="eastAsia" w:cs="宋体"/>
                <w:color w:val="auto"/>
                <w:kern w:val="2"/>
                <w:sz w:val="21"/>
                <w:szCs w:val="21"/>
                <w:lang w:eastAsia="zh-CN"/>
              </w:rPr>
              <w:t>天津建设世界一流南部集疏运配套（海景大道南延）项目勘察招标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944" w:type="dxa"/>
            <w:vAlign w:val="center"/>
          </w:tcPr>
          <w:p>
            <w:pPr>
              <w:autoSpaceDE w:val="0"/>
              <w:autoSpaceDN w:val="0"/>
              <w:adjustRightInd w:val="0"/>
              <w:spacing w:line="400" w:lineRule="atLeast"/>
              <w:jc w:val="center"/>
              <w:rPr>
                <w:rFonts w:eastAsia="黑体"/>
                <w:color w:val="auto"/>
                <w:kern w:val="0"/>
              </w:rPr>
            </w:pPr>
            <w:r>
              <w:rPr>
                <w:rFonts w:eastAsia="黑体"/>
                <w:color w:val="auto"/>
                <w:kern w:val="0"/>
              </w:rPr>
              <w:t>1.1.5</w:t>
            </w:r>
          </w:p>
        </w:tc>
        <w:tc>
          <w:tcPr>
            <w:tcW w:w="2820" w:type="dxa"/>
            <w:vAlign w:val="center"/>
          </w:tcPr>
          <w:p>
            <w:pPr>
              <w:autoSpaceDE w:val="0"/>
              <w:autoSpaceDN w:val="0"/>
              <w:adjustRightInd w:val="0"/>
              <w:spacing w:line="400" w:lineRule="atLeast"/>
              <w:jc w:val="center"/>
              <w:rPr>
                <w:rFonts w:cs="Times New Roman"/>
                <w:color w:val="auto"/>
                <w:kern w:val="0"/>
              </w:rPr>
            </w:pPr>
            <w:r>
              <w:rPr>
                <w:rFonts w:hint="eastAsia" w:cs="宋体"/>
                <w:color w:val="auto"/>
                <w:kern w:val="0"/>
              </w:rPr>
              <w:t>标段建设地点</w:t>
            </w:r>
          </w:p>
        </w:tc>
        <w:tc>
          <w:tcPr>
            <w:tcW w:w="5836" w:type="dxa"/>
            <w:vAlign w:val="center"/>
          </w:tcPr>
          <w:p>
            <w:pPr>
              <w:autoSpaceDE w:val="0"/>
              <w:autoSpaceDN w:val="0"/>
              <w:snapToGrid w:val="0"/>
              <w:spacing w:line="400" w:lineRule="atLeast"/>
              <w:jc w:val="left"/>
              <w:rPr>
                <w:rFonts w:hAnsi="Times New Roman" w:cs="Times New Roman"/>
                <w:color w:val="auto"/>
              </w:rPr>
            </w:pPr>
            <w:r>
              <w:rPr>
                <w:rFonts w:hint="eastAsia" w:cs="宋体"/>
                <w:color w:val="auto"/>
              </w:rPr>
              <w:t>天津市滨海新区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944" w:type="dxa"/>
            <w:vAlign w:val="center"/>
          </w:tcPr>
          <w:p>
            <w:pPr>
              <w:autoSpaceDE w:val="0"/>
              <w:autoSpaceDN w:val="0"/>
              <w:adjustRightInd w:val="0"/>
              <w:spacing w:line="400" w:lineRule="atLeast"/>
              <w:jc w:val="center"/>
              <w:rPr>
                <w:rFonts w:eastAsia="黑体"/>
                <w:color w:val="auto"/>
                <w:kern w:val="0"/>
              </w:rPr>
            </w:pPr>
            <w:r>
              <w:rPr>
                <w:rFonts w:eastAsia="黑体"/>
                <w:color w:val="auto"/>
                <w:kern w:val="0"/>
              </w:rPr>
              <w:t>1.1.6</w:t>
            </w:r>
          </w:p>
        </w:tc>
        <w:tc>
          <w:tcPr>
            <w:tcW w:w="2820" w:type="dxa"/>
            <w:vAlign w:val="center"/>
          </w:tcPr>
          <w:p>
            <w:pPr>
              <w:autoSpaceDE w:val="0"/>
              <w:autoSpaceDN w:val="0"/>
              <w:adjustRightInd w:val="0"/>
              <w:spacing w:line="400" w:lineRule="atLeast"/>
              <w:jc w:val="center"/>
              <w:rPr>
                <w:rFonts w:cs="Times New Roman"/>
                <w:color w:val="auto"/>
                <w:kern w:val="0"/>
              </w:rPr>
            </w:pPr>
            <w:r>
              <w:rPr>
                <w:rFonts w:hint="eastAsia" w:cs="宋体"/>
                <w:color w:val="auto"/>
                <w:kern w:val="0"/>
              </w:rPr>
              <w:t>标段建设规模</w:t>
            </w:r>
          </w:p>
        </w:tc>
        <w:tc>
          <w:tcPr>
            <w:tcW w:w="5836" w:type="dxa"/>
            <w:vAlign w:val="center"/>
          </w:tcPr>
          <w:p>
            <w:pPr>
              <w:autoSpaceDE w:val="0"/>
              <w:autoSpaceDN w:val="0"/>
              <w:snapToGrid w:val="0"/>
              <w:spacing w:line="400" w:lineRule="atLeast"/>
              <w:jc w:val="left"/>
              <w:rPr>
                <w:rFonts w:cs="Times New Roman"/>
                <w:color w:val="auto"/>
              </w:rPr>
            </w:pPr>
            <w:r>
              <w:rPr>
                <w:rFonts w:hint="eastAsia" w:cs="宋体"/>
                <w:color w:val="auto"/>
              </w:rPr>
              <w:t>主要包括路线设计、路基工程、路面工程、过路箱涵工程、桥梁工程、路线交叉、交通设施、照明工程、绿化工程及配套停车场建设。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944" w:type="dxa"/>
            <w:vAlign w:val="center"/>
          </w:tcPr>
          <w:p>
            <w:pPr>
              <w:autoSpaceDE w:val="0"/>
              <w:autoSpaceDN w:val="0"/>
              <w:adjustRightInd w:val="0"/>
              <w:spacing w:line="400" w:lineRule="atLeast"/>
              <w:jc w:val="center"/>
              <w:rPr>
                <w:rFonts w:eastAsia="黑体"/>
                <w:color w:val="auto"/>
                <w:kern w:val="0"/>
              </w:rPr>
            </w:pPr>
            <w:r>
              <w:rPr>
                <w:rFonts w:eastAsia="黑体"/>
                <w:color w:val="auto"/>
                <w:kern w:val="0"/>
              </w:rPr>
              <w:t xml:space="preserve">1.1.7 </w:t>
            </w:r>
          </w:p>
        </w:tc>
        <w:tc>
          <w:tcPr>
            <w:tcW w:w="2820" w:type="dxa"/>
            <w:vAlign w:val="center"/>
          </w:tcPr>
          <w:p>
            <w:pPr>
              <w:autoSpaceDE w:val="0"/>
              <w:autoSpaceDN w:val="0"/>
              <w:adjustRightInd w:val="0"/>
              <w:spacing w:line="400" w:lineRule="atLeast"/>
              <w:jc w:val="center"/>
              <w:rPr>
                <w:rFonts w:cs="Times New Roman"/>
                <w:color w:val="auto"/>
                <w:kern w:val="0"/>
              </w:rPr>
            </w:pPr>
            <w:r>
              <w:rPr>
                <w:rFonts w:hint="eastAsia" w:cs="宋体"/>
                <w:color w:val="auto"/>
                <w:kern w:val="0"/>
              </w:rPr>
              <w:t>标段投资估算</w:t>
            </w:r>
          </w:p>
        </w:tc>
        <w:tc>
          <w:tcPr>
            <w:tcW w:w="5836" w:type="dxa"/>
            <w:vAlign w:val="center"/>
          </w:tcPr>
          <w:p>
            <w:pPr>
              <w:autoSpaceDE w:val="0"/>
              <w:autoSpaceDN w:val="0"/>
              <w:snapToGrid w:val="0"/>
              <w:rPr>
                <w:rFonts w:hAnsi="Times New Roman" w:cs="Times New Roman"/>
                <w:color w:val="auto"/>
              </w:rPr>
            </w:pPr>
            <w:r>
              <w:rPr>
                <w:rFonts w:hint="eastAsia" w:hAnsi="Times New Roman" w:cs="宋体"/>
                <w:color w:val="auto"/>
                <w:lang w:val="en-US" w:eastAsia="zh-CN"/>
              </w:rPr>
              <w:t>34662.3万</w:t>
            </w:r>
            <w:r>
              <w:rPr>
                <w:rFonts w:hint="eastAsia" w:hAnsi="Times New Roman" w:cs="宋体"/>
                <w:color w:val="auto"/>
              </w:rPr>
              <w:t>元，其中建安费</w:t>
            </w:r>
            <w:r>
              <w:rPr>
                <w:rFonts w:hint="eastAsia" w:hAnsi="Times New Roman" w:cs="宋体"/>
                <w:color w:val="auto"/>
                <w:lang w:val="en-US" w:eastAsia="zh-CN"/>
              </w:rPr>
              <w:t>16888.506511万</w:t>
            </w:r>
            <w:r>
              <w:rPr>
                <w:rFonts w:hint="eastAsia" w:hAnsi="Times New Roman" w:cs="宋体"/>
                <w:color w:val="auto"/>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944" w:type="dxa"/>
            <w:vAlign w:val="center"/>
          </w:tcPr>
          <w:p>
            <w:pPr>
              <w:autoSpaceDE w:val="0"/>
              <w:autoSpaceDN w:val="0"/>
              <w:adjustRightInd w:val="0"/>
              <w:spacing w:line="400" w:lineRule="atLeast"/>
              <w:jc w:val="center"/>
              <w:rPr>
                <w:rFonts w:eastAsia="黑体"/>
                <w:color w:val="auto"/>
                <w:kern w:val="0"/>
              </w:rPr>
            </w:pPr>
            <w:r>
              <w:rPr>
                <w:rFonts w:eastAsia="黑体"/>
                <w:color w:val="auto"/>
                <w:kern w:val="0"/>
              </w:rPr>
              <w:t>1.2.1</w:t>
            </w:r>
          </w:p>
        </w:tc>
        <w:tc>
          <w:tcPr>
            <w:tcW w:w="2820" w:type="dxa"/>
            <w:vAlign w:val="center"/>
          </w:tcPr>
          <w:p>
            <w:pPr>
              <w:autoSpaceDE w:val="0"/>
              <w:autoSpaceDN w:val="0"/>
              <w:adjustRightInd w:val="0"/>
              <w:spacing w:line="400" w:lineRule="atLeast"/>
              <w:jc w:val="center"/>
              <w:rPr>
                <w:rFonts w:cs="Times New Roman"/>
                <w:color w:val="auto"/>
                <w:kern w:val="0"/>
              </w:rPr>
            </w:pPr>
            <w:r>
              <w:rPr>
                <w:rFonts w:hint="eastAsia" w:cs="宋体"/>
                <w:color w:val="auto"/>
                <w:kern w:val="0"/>
              </w:rPr>
              <w:t>资金来源及比例</w:t>
            </w:r>
          </w:p>
        </w:tc>
        <w:tc>
          <w:tcPr>
            <w:tcW w:w="5836" w:type="dxa"/>
            <w:vAlign w:val="center"/>
          </w:tcPr>
          <w:p>
            <w:pPr>
              <w:adjustRightInd w:val="0"/>
              <w:snapToGrid w:val="0"/>
              <w:rPr>
                <w:rFonts w:hint="eastAsia" w:hAnsi="Times New Roman" w:eastAsia="宋体"/>
                <w:color w:val="auto"/>
                <w:lang w:eastAsia="zh-CN"/>
              </w:rPr>
            </w:pPr>
            <w:r>
              <w:rPr>
                <w:rFonts w:hint="eastAsia" w:hAnsi="Times New Roman"/>
                <w:color w:val="auto"/>
                <w:lang w:eastAsia="zh-CN"/>
              </w:rPr>
              <w:t>滨海新区财政出资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944" w:type="dxa"/>
            <w:vAlign w:val="center"/>
          </w:tcPr>
          <w:p>
            <w:pPr>
              <w:autoSpaceDE w:val="0"/>
              <w:autoSpaceDN w:val="0"/>
              <w:adjustRightInd w:val="0"/>
              <w:spacing w:line="400" w:lineRule="atLeast"/>
              <w:jc w:val="center"/>
              <w:rPr>
                <w:rFonts w:eastAsia="黑体"/>
                <w:color w:val="auto"/>
                <w:kern w:val="0"/>
              </w:rPr>
            </w:pPr>
            <w:r>
              <w:rPr>
                <w:rFonts w:eastAsia="黑体"/>
                <w:color w:val="auto"/>
                <w:kern w:val="0"/>
              </w:rPr>
              <w:t>1.2.2</w:t>
            </w:r>
          </w:p>
        </w:tc>
        <w:tc>
          <w:tcPr>
            <w:tcW w:w="2820" w:type="dxa"/>
            <w:vAlign w:val="center"/>
          </w:tcPr>
          <w:p>
            <w:pPr>
              <w:autoSpaceDE w:val="0"/>
              <w:autoSpaceDN w:val="0"/>
              <w:adjustRightInd w:val="0"/>
              <w:spacing w:line="400" w:lineRule="atLeast"/>
              <w:jc w:val="center"/>
              <w:rPr>
                <w:rFonts w:cs="Times New Roman"/>
                <w:color w:val="auto"/>
                <w:kern w:val="0"/>
              </w:rPr>
            </w:pPr>
            <w:r>
              <w:rPr>
                <w:rFonts w:hint="eastAsia" w:cs="宋体"/>
                <w:color w:val="auto"/>
                <w:kern w:val="0"/>
              </w:rPr>
              <w:t>资金落实情况</w:t>
            </w:r>
          </w:p>
        </w:tc>
        <w:tc>
          <w:tcPr>
            <w:tcW w:w="5836" w:type="dxa"/>
            <w:vAlign w:val="center"/>
          </w:tcPr>
          <w:p>
            <w:pPr>
              <w:autoSpaceDE w:val="0"/>
              <w:autoSpaceDN w:val="0"/>
              <w:snapToGrid w:val="0"/>
              <w:rPr>
                <w:rFonts w:hAnsi="Times New Roman" w:cs="Times New Roman"/>
                <w:color w:val="auto"/>
              </w:rPr>
            </w:pPr>
            <w:r>
              <w:rPr>
                <w:rFonts w:hint="eastAsia" w:hAnsi="Times New Roman" w:cs="宋体"/>
                <w:color w:val="auto"/>
              </w:rPr>
              <w:t>已落实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44" w:hRule="atLeast"/>
          <w:jc w:val="center"/>
        </w:trPr>
        <w:tc>
          <w:tcPr>
            <w:tcW w:w="944" w:type="dxa"/>
            <w:vAlign w:val="center"/>
          </w:tcPr>
          <w:p>
            <w:pPr>
              <w:autoSpaceDE w:val="0"/>
              <w:autoSpaceDN w:val="0"/>
              <w:adjustRightInd w:val="0"/>
              <w:spacing w:line="400" w:lineRule="atLeast"/>
              <w:jc w:val="center"/>
              <w:rPr>
                <w:rFonts w:eastAsia="黑体"/>
                <w:color w:val="auto"/>
                <w:kern w:val="0"/>
              </w:rPr>
            </w:pPr>
            <w:r>
              <w:rPr>
                <w:rFonts w:eastAsia="黑体"/>
                <w:color w:val="auto"/>
                <w:kern w:val="0"/>
              </w:rPr>
              <w:t>1.3.1</w:t>
            </w:r>
          </w:p>
        </w:tc>
        <w:tc>
          <w:tcPr>
            <w:tcW w:w="2820" w:type="dxa"/>
            <w:vAlign w:val="center"/>
          </w:tcPr>
          <w:p>
            <w:pPr>
              <w:autoSpaceDE w:val="0"/>
              <w:autoSpaceDN w:val="0"/>
              <w:adjustRightInd w:val="0"/>
              <w:spacing w:line="400" w:lineRule="atLeast"/>
              <w:jc w:val="center"/>
              <w:rPr>
                <w:rFonts w:cs="Times New Roman"/>
                <w:color w:val="auto"/>
                <w:kern w:val="0"/>
              </w:rPr>
            </w:pPr>
            <w:r>
              <w:rPr>
                <w:rFonts w:hint="eastAsia" w:cs="宋体"/>
                <w:color w:val="auto"/>
                <w:kern w:val="0"/>
              </w:rPr>
              <w:t>招标范围</w:t>
            </w:r>
          </w:p>
        </w:tc>
        <w:tc>
          <w:tcPr>
            <w:tcW w:w="5836" w:type="dxa"/>
            <w:vAlign w:val="center"/>
          </w:tcPr>
          <w:p>
            <w:pPr>
              <w:autoSpaceDE w:val="0"/>
              <w:autoSpaceDN w:val="0"/>
              <w:snapToGrid w:val="0"/>
              <w:rPr>
                <w:rFonts w:hAnsi="Times New Roman" w:cs="Times New Roman"/>
                <w:color w:val="auto"/>
              </w:rPr>
            </w:pPr>
            <w:r>
              <w:rPr>
                <w:rFonts w:cs="Times New Roman"/>
                <w:color w:val="auto"/>
                <w:kern w:val="0"/>
                <w:szCs w:val="20"/>
              </w:rPr>
              <w:sym w:font="Wingdings" w:char="F0FE"/>
            </w:r>
            <w:r>
              <w:rPr>
                <w:rFonts w:hint="eastAsia" w:hAnsi="Times New Roman" w:cs="宋体"/>
                <w:color w:val="auto"/>
                <w:kern w:val="0"/>
              </w:rPr>
              <w:t>初勘、初测</w:t>
            </w:r>
          </w:p>
          <w:p>
            <w:pPr>
              <w:autoSpaceDE w:val="0"/>
              <w:autoSpaceDN w:val="0"/>
              <w:snapToGrid w:val="0"/>
              <w:rPr>
                <w:rFonts w:hAnsi="Times New Roman" w:cs="Times New Roman"/>
                <w:color w:val="auto"/>
              </w:rPr>
            </w:pPr>
            <w:r>
              <w:rPr>
                <w:rFonts w:cs="Times New Roman"/>
                <w:color w:val="auto"/>
                <w:kern w:val="0"/>
                <w:szCs w:val="20"/>
              </w:rPr>
              <w:sym w:font="Wingdings" w:char="F0FE"/>
            </w:r>
            <w:r>
              <w:rPr>
                <w:rFonts w:hint="eastAsia" w:ascii="Times New Roman" w:hAnsi="Times New Roman" w:cs="宋体"/>
                <w:color w:val="auto"/>
                <w:kern w:val="0"/>
              </w:rPr>
              <w:t>详勘、</w:t>
            </w:r>
            <w:r>
              <w:rPr>
                <w:rFonts w:hint="eastAsia" w:hAnsi="Times New Roman" w:cs="宋体"/>
                <w:color w:val="auto"/>
                <w:kern w:val="0"/>
              </w:rPr>
              <w:t>定测</w:t>
            </w:r>
          </w:p>
          <w:p>
            <w:pPr>
              <w:autoSpaceDE w:val="0"/>
              <w:autoSpaceDN w:val="0"/>
              <w:snapToGrid w:val="0"/>
              <w:rPr>
                <w:rFonts w:hAnsi="Times New Roman" w:cs="Times New Roman"/>
                <w:color w:val="auto"/>
              </w:rPr>
            </w:pPr>
            <w:r>
              <w:rPr>
                <w:rFonts w:cs="Times New Roman"/>
                <w:color w:val="auto"/>
                <w:kern w:val="0"/>
                <w:szCs w:val="20"/>
              </w:rPr>
              <w:sym w:font="Wingdings" w:char="00A8"/>
            </w:r>
            <w:r>
              <w:rPr>
                <w:rFonts w:hint="eastAsia" w:hAnsi="Times New Roman" w:cs="宋体"/>
                <w:color w:val="auto"/>
                <w:kern w:val="0"/>
              </w:rPr>
              <w:t>初步设计</w:t>
            </w:r>
          </w:p>
          <w:p>
            <w:pPr>
              <w:autoSpaceDE w:val="0"/>
              <w:autoSpaceDN w:val="0"/>
              <w:snapToGrid w:val="0"/>
              <w:rPr>
                <w:rFonts w:hAnsi="Times New Roman" w:cs="Times New Roman"/>
                <w:color w:val="auto"/>
              </w:rPr>
            </w:pPr>
            <w:r>
              <w:rPr>
                <w:rFonts w:hint="eastAsia" w:ascii="Times New Roman" w:hAnsi="Times New Roman" w:cs="Times New Roman"/>
                <w:color w:val="auto"/>
                <w:kern w:val="0"/>
              </w:rPr>
              <w:t>□</w:t>
            </w:r>
            <w:r>
              <w:rPr>
                <w:rFonts w:hint="eastAsia" w:hAnsi="Times New Roman" w:cs="宋体"/>
                <w:color w:val="auto"/>
                <w:kern w:val="0"/>
              </w:rPr>
              <w:t>技术设计</w:t>
            </w:r>
          </w:p>
          <w:p>
            <w:pPr>
              <w:autoSpaceDE w:val="0"/>
              <w:autoSpaceDN w:val="0"/>
              <w:snapToGrid w:val="0"/>
              <w:rPr>
                <w:rFonts w:cs="Times New Roman"/>
                <w:color w:val="auto"/>
                <w:kern w:val="0"/>
              </w:rPr>
            </w:pPr>
            <w:r>
              <w:rPr>
                <w:rFonts w:cs="Times New Roman"/>
                <w:color w:val="auto"/>
                <w:kern w:val="0"/>
                <w:szCs w:val="20"/>
              </w:rPr>
              <w:sym w:font="Wingdings" w:char="00A8"/>
            </w:r>
            <w:r>
              <w:rPr>
                <w:rFonts w:hint="eastAsia" w:hAnsi="Times New Roman" w:cs="宋体"/>
                <w:color w:val="auto"/>
                <w:kern w:val="0"/>
              </w:rPr>
              <w:t>施工图设计</w:t>
            </w:r>
          </w:p>
          <w:p>
            <w:pPr>
              <w:snapToGrid w:val="0"/>
              <w:spacing w:line="360" w:lineRule="auto"/>
              <w:rPr>
                <w:rFonts w:cs="Times New Roman"/>
                <w:color w:val="auto"/>
              </w:rPr>
            </w:pPr>
            <w:r>
              <w:rPr>
                <w:rFonts w:cs="Times New Roman"/>
                <w:color w:val="auto"/>
                <w:kern w:val="0"/>
                <w:szCs w:val="20"/>
              </w:rPr>
              <w:sym w:font="Wingdings" w:char="00A8"/>
            </w:r>
            <w:r>
              <w:rPr>
                <w:rFonts w:hint="eastAsia" w:cs="宋体"/>
                <w:color w:val="auto"/>
              </w:rPr>
              <w:t>其他：</w:t>
            </w:r>
            <w:r>
              <w:rPr>
                <w:rFonts w:hint="eastAsia" w:cs="宋体"/>
                <w:color w:val="auto"/>
                <w:u w:val="single"/>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944" w:type="dxa"/>
            <w:vAlign w:val="center"/>
          </w:tcPr>
          <w:p>
            <w:pPr>
              <w:autoSpaceDE w:val="0"/>
              <w:autoSpaceDN w:val="0"/>
              <w:adjustRightInd w:val="0"/>
              <w:spacing w:line="400" w:lineRule="atLeast"/>
              <w:jc w:val="center"/>
              <w:rPr>
                <w:rFonts w:eastAsia="黑体"/>
                <w:color w:val="auto"/>
                <w:kern w:val="0"/>
              </w:rPr>
            </w:pPr>
            <w:r>
              <w:rPr>
                <w:rFonts w:eastAsia="黑体"/>
                <w:color w:val="auto"/>
                <w:kern w:val="0"/>
              </w:rPr>
              <w:t>1.3.2</w:t>
            </w:r>
          </w:p>
        </w:tc>
        <w:tc>
          <w:tcPr>
            <w:tcW w:w="2820" w:type="dxa"/>
            <w:vAlign w:val="center"/>
          </w:tcPr>
          <w:p>
            <w:pPr>
              <w:autoSpaceDE w:val="0"/>
              <w:autoSpaceDN w:val="0"/>
              <w:adjustRightInd w:val="0"/>
              <w:spacing w:line="400" w:lineRule="atLeast"/>
              <w:jc w:val="center"/>
              <w:rPr>
                <w:rFonts w:cs="Times New Roman"/>
                <w:color w:val="auto"/>
                <w:kern w:val="0"/>
              </w:rPr>
            </w:pPr>
            <w:r>
              <w:rPr>
                <w:rFonts w:hint="eastAsia" w:cs="宋体"/>
                <w:color w:val="auto"/>
                <w:kern w:val="0"/>
              </w:rPr>
              <w:t>勘察服务期限</w:t>
            </w:r>
          </w:p>
        </w:tc>
        <w:tc>
          <w:tcPr>
            <w:tcW w:w="5836" w:type="dxa"/>
            <w:vAlign w:val="center"/>
          </w:tcPr>
          <w:p>
            <w:pPr>
              <w:rPr>
                <w:rFonts w:cs="宋体"/>
                <w:color w:val="auto"/>
              </w:rPr>
            </w:pPr>
            <w:r>
              <w:rPr>
                <w:rFonts w:hint="eastAsia" w:cs="宋体"/>
                <w:color w:val="auto"/>
              </w:rPr>
              <w:t>（1）合同签订后30天内，通过初勘提交初勘报告送审稿；（2）初步设计文件批复后60天内，通过详勘提交详勘报告送审稿；（3）根据咨询单位、发包人和上级主管部门审查意见，对勘察报告提交勘察报告最终稿；（4）施工现场配合服务：从项目开工至项目竣工验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jc w:val="center"/>
        </w:trPr>
        <w:tc>
          <w:tcPr>
            <w:tcW w:w="944" w:type="dxa"/>
            <w:tcBorders>
              <w:bottom w:val="single" w:color="auto" w:sz="12" w:space="0"/>
            </w:tcBorders>
            <w:vAlign w:val="center"/>
          </w:tcPr>
          <w:p>
            <w:pPr>
              <w:autoSpaceDE w:val="0"/>
              <w:autoSpaceDN w:val="0"/>
              <w:adjustRightInd w:val="0"/>
              <w:spacing w:line="400" w:lineRule="atLeast"/>
              <w:jc w:val="center"/>
              <w:rPr>
                <w:rFonts w:eastAsia="黑体"/>
                <w:color w:val="auto"/>
                <w:kern w:val="0"/>
              </w:rPr>
            </w:pPr>
            <w:r>
              <w:rPr>
                <w:rFonts w:eastAsia="黑体"/>
                <w:color w:val="auto"/>
                <w:kern w:val="0"/>
              </w:rPr>
              <w:t>1.3.3</w:t>
            </w:r>
          </w:p>
        </w:tc>
        <w:tc>
          <w:tcPr>
            <w:tcW w:w="2820" w:type="dxa"/>
            <w:tcBorders>
              <w:bottom w:val="single" w:color="auto" w:sz="12" w:space="0"/>
            </w:tcBorders>
            <w:vAlign w:val="center"/>
          </w:tcPr>
          <w:p>
            <w:pPr>
              <w:autoSpaceDE w:val="0"/>
              <w:autoSpaceDN w:val="0"/>
              <w:adjustRightInd w:val="0"/>
              <w:spacing w:line="400" w:lineRule="atLeast"/>
              <w:jc w:val="center"/>
              <w:rPr>
                <w:rFonts w:cs="Times New Roman"/>
                <w:color w:val="auto"/>
                <w:kern w:val="0"/>
              </w:rPr>
            </w:pPr>
            <w:r>
              <w:rPr>
                <w:rFonts w:hint="eastAsia" w:cs="宋体"/>
                <w:color w:val="auto"/>
                <w:kern w:val="0"/>
              </w:rPr>
              <w:t>质量要求</w:t>
            </w:r>
          </w:p>
        </w:tc>
        <w:tc>
          <w:tcPr>
            <w:tcW w:w="5836" w:type="dxa"/>
            <w:tcBorders>
              <w:bottom w:val="single" w:color="auto" w:sz="12" w:space="0"/>
            </w:tcBorders>
            <w:vAlign w:val="center"/>
          </w:tcPr>
          <w:p>
            <w:pPr>
              <w:rPr>
                <w:rFonts w:cs="Times New Roman"/>
                <w:color w:val="auto"/>
              </w:rPr>
            </w:pPr>
            <w:r>
              <w:rPr>
                <w:rFonts w:hint="eastAsia" w:cs="宋体"/>
                <w:color w:val="auto"/>
              </w:rPr>
              <w:t>符合国家规范、规程和有关技术规定。</w:t>
            </w:r>
          </w:p>
        </w:tc>
      </w:tr>
    </w:tbl>
    <w:p>
      <w:pPr>
        <w:jc w:val="right"/>
        <w:rPr>
          <w:rFonts w:cs="Times New Roman"/>
          <w:color w:val="auto"/>
        </w:rPr>
      </w:pPr>
    </w:p>
    <w:p>
      <w:pPr>
        <w:jc w:val="right"/>
        <w:rPr>
          <w:rFonts w:cs="Times New Roman"/>
          <w:color w:val="auto"/>
        </w:rPr>
      </w:pPr>
    </w:p>
    <w:p>
      <w:pPr>
        <w:jc w:val="right"/>
        <w:rPr>
          <w:rFonts w:cs="Times New Roman"/>
          <w:color w:val="auto"/>
        </w:rPr>
      </w:pPr>
    </w:p>
    <w:p>
      <w:pPr>
        <w:jc w:val="right"/>
        <w:rPr>
          <w:rFonts w:cs="Times New Roman"/>
          <w:color w:val="auto"/>
        </w:rPr>
      </w:pPr>
    </w:p>
    <w:p>
      <w:pPr>
        <w:jc w:val="right"/>
        <w:rPr>
          <w:rFonts w:cs="Times New Roman"/>
          <w:color w:val="auto"/>
        </w:rPr>
      </w:pPr>
      <w:r>
        <w:rPr>
          <w:rFonts w:hint="eastAsia" w:cs="宋体"/>
          <w:color w:val="auto"/>
        </w:rPr>
        <w:t>续上表</w:t>
      </w:r>
    </w:p>
    <w:tbl>
      <w:tblPr>
        <w:tblStyle w:val="20"/>
        <w:tblW w:w="96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1"/>
        <w:gridCol w:w="2835"/>
        <w:gridCol w:w="584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921" w:type="dxa"/>
            <w:tcBorders>
              <w:top w:val="single" w:color="auto" w:sz="12" w:space="0"/>
            </w:tcBorders>
            <w:vAlign w:val="center"/>
          </w:tcPr>
          <w:p>
            <w:pPr>
              <w:pStyle w:val="50"/>
              <w:spacing w:line="400" w:lineRule="atLeast"/>
              <w:jc w:val="center"/>
              <w:rPr>
                <w:rFonts w:cs="Times New Roman"/>
                <w:b/>
                <w:bCs/>
                <w:color w:val="auto"/>
                <w:sz w:val="21"/>
                <w:szCs w:val="21"/>
              </w:rPr>
            </w:pPr>
            <w:r>
              <w:rPr>
                <w:rFonts w:hint="eastAsia" w:cs="宋体"/>
                <w:b/>
                <w:bCs/>
                <w:color w:val="auto"/>
                <w:sz w:val="21"/>
                <w:szCs w:val="21"/>
              </w:rPr>
              <w:t>条款号</w:t>
            </w:r>
          </w:p>
        </w:tc>
        <w:tc>
          <w:tcPr>
            <w:tcW w:w="2835" w:type="dxa"/>
            <w:tcBorders>
              <w:top w:val="single" w:color="auto" w:sz="12" w:space="0"/>
            </w:tcBorders>
            <w:vAlign w:val="center"/>
          </w:tcPr>
          <w:p>
            <w:pPr>
              <w:pStyle w:val="50"/>
              <w:spacing w:line="400" w:lineRule="atLeast"/>
              <w:jc w:val="center"/>
              <w:rPr>
                <w:rFonts w:cs="Times New Roman"/>
                <w:b/>
                <w:bCs/>
                <w:color w:val="auto"/>
                <w:sz w:val="21"/>
                <w:szCs w:val="21"/>
              </w:rPr>
            </w:pPr>
            <w:r>
              <w:rPr>
                <w:rFonts w:hint="eastAsia" w:cs="宋体"/>
                <w:b/>
                <w:bCs/>
                <w:color w:val="auto"/>
                <w:sz w:val="21"/>
                <w:szCs w:val="21"/>
              </w:rPr>
              <w:t>条款名称</w:t>
            </w:r>
          </w:p>
        </w:tc>
        <w:tc>
          <w:tcPr>
            <w:tcW w:w="5844" w:type="dxa"/>
            <w:tcBorders>
              <w:top w:val="single" w:color="auto" w:sz="12" w:space="0"/>
            </w:tcBorders>
            <w:vAlign w:val="center"/>
          </w:tcPr>
          <w:p>
            <w:pPr>
              <w:pStyle w:val="50"/>
              <w:spacing w:line="400" w:lineRule="atLeast"/>
              <w:jc w:val="center"/>
              <w:rPr>
                <w:rFonts w:cs="Times New Roman"/>
                <w:b/>
                <w:bCs/>
                <w:color w:val="auto"/>
                <w:sz w:val="21"/>
                <w:szCs w:val="21"/>
              </w:rPr>
            </w:pPr>
            <w:r>
              <w:rPr>
                <w:rFonts w:hint="eastAsia" w:cs="宋体"/>
                <w:b/>
                <w:bCs/>
                <w:color w:val="auto"/>
                <w:sz w:val="21"/>
                <w:szCs w:val="21"/>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921" w:type="dxa"/>
            <w:vAlign w:val="center"/>
          </w:tcPr>
          <w:p>
            <w:pPr>
              <w:autoSpaceDE w:val="0"/>
              <w:autoSpaceDN w:val="0"/>
              <w:adjustRightInd w:val="0"/>
              <w:spacing w:line="400" w:lineRule="atLeast"/>
              <w:jc w:val="center"/>
              <w:rPr>
                <w:rFonts w:cs="Times New Roman"/>
                <w:b/>
                <w:bCs/>
                <w:color w:val="auto"/>
              </w:rPr>
            </w:pPr>
            <w:r>
              <w:rPr>
                <w:rFonts w:eastAsia="黑体"/>
                <w:color w:val="auto"/>
                <w:kern w:val="0"/>
              </w:rPr>
              <w:t>1.3.4</w:t>
            </w:r>
          </w:p>
        </w:tc>
        <w:tc>
          <w:tcPr>
            <w:tcW w:w="2835" w:type="dxa"/>
            <w:vAlign w:val="center"/>
          </w:tcPr>
          <w:p>
            <w:pPr>
              <w:autoSpaceDE w:val="0"/>
              <w:autoSpaceDN w:val="0"/>
              <w:adjustRightInd w:val="0"/>
              <w:spacing w:line="400" w:lineRule="atLeast"/>
              <w:jc w:val="center"/>
              <w:rPr>
                <w:rFonts w:cs="Times New Roman"/>
                <w:b/>
                <w:bCs/>
                <w:color w:val="auto"/>
              </w:rPr>
            </w:pPr>
            <w:r>
              <w:rPr>
                <w:rFonts w:hint="eastAsia" w:cs="宋体"/>
                <w:color w:val="auto"/>
                <w:kern w:val="0"/>
              </w:rPr>
              <w:t>安全目标</w:t>
            </w:r>
          </w:p>
        </w:tc>
        <w:tc>
          <w:tcPr>
            <w:tcW w:w="5844" w:type="dxa"/>
            <w:vAlign w:val="center"/>
          </w:tcPr>
          <w:p>
            <w:pPr>
              <w:ind w:firstLine="12" w:firstLineChars="6"/>
              <w:rPr>
                <w:rFonts w:cs="Times New Roman"/>
                <w:b/>
                <w:bCs/>
                <w:color w:val="auto"/>
              </w:rPr>
            </w:pPr>
            <w:r>
              <w:rPr>
                <w:rFonts w:hint="eastAsia" w:cs="宋体"/>
                <w:color w:val="auto"/>
                <w:kern w:val="0"/>
              </w:rPr>
              <w:t>无生产责任事故、重大伤亡事故和死亡事故的发生。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jc w:val="center"/>
        </w:trPr>
        <w:tc>
          <w:tcPr>
            <w:tcW w:w="921" w:type="dxa"/>
            <w:vAlign w:val="center"/>
          </w:tcPr>
          <w:p>
            <w:pPr>
              <w:autoSpaceDE w:val="0"/>
              <w:autoSpaceDN w:val="0"/>
              <w:adjustRightInd w:val="0"/>
              <w:spacing w:line="400" w:lineRule="atLeast"/>
              <w:jc w:val="center"/>
              <w:rPr>
                <w:rFonts w:eastAsia="黑体"/>
                <w:color w:val="auto"/>
                <w:kern w:val="0"/>
              </w:rPr>
            </w:pPr>
            <w:r>
              <w:rPr>
                <w:rFonts w:eastAsia="黑体"/>
                <w:color w:val="auto"/>
                <w:kern w:val="0"/>
              </w:rPr>
              <w:t>1.4.1</w:t>
            </w:r>
          </w:p>
        </w:tc>
        <w:tc>
          <w:tcPr>
            <w:tcW w:w="2835" w:type="dxa"/>
            <w:vAlign w:val="center"/>
          </w:tcPr>
          <w:p>
            <w:pPr>
              <w:autoSpaceDE w:val="0"/>
              <w:autoSpaceDN w:val="0"/>
              <w:adjustRightInd w:val="0"/>
              <w:spacing w:line="400" w:lineRule="atLeast"/>
              <w:jc w:val="center"/>
              <w:rPr>
                <w:rFonts w:cs="Times New Roman"/>
                <w:color w:val="auto"/>
                <w:kern w:val="0"/>
              </w:rPr>
            </w:pPr>
            <w:r>
              <w:rPr>
                <w:rFonts w:hint="eastAsia" w:cs="宋体"/>
                <w:color w:val="auto"/>
                <w:kern w:val="0"/>
              </w:rPr>
              <w:t>投标人资质条件、能力和信誉</w:t>
            </w:r>
          </w:p>
        </w:tc>
        <w:tc>
          <w:tcPr>
            <w:tcW w:w="5844" w:type="dxa"/>
            <w:vAlign w:val="center"/>
          </w:tcPr>
          <w:p>
            <w:pPr>
              <w:pStyle w:val="50"/>
              <w:jc w:val="both"/>
              <w:rPr>
                <w:rFonts w:ascii="Times New Roman" w:hAnsi="Times New Roman" w:cs="Times New Roman"/>
                <w:color w:val="auto"/>
                <w:sz w:val="21"/>
                <w:szCs w:val="21"/>
              </w:rPr>
            </w:pPr>
            <w:r>
              <w:rPr>
                <w:rFonts w:hint="eastAsia" w:ascii="Times New Roman" w:hAnsi="Times New Roman" w:cs="宋体"/>
                <w:color w:val="auto"/>
                <w:sz w:val="21"/>
                <w:szCs w:val="21"/>
              </w:rPr>
              <w:t>资质要求：见附录</w:t>
            </w:r>
            <w:r>
              <w:rPr>
                <w:rFonts w:ascii="Times New Roman" w:hAnsi="Times New Roman" w:cs="Times New Roman"/>
                <w:color w:val="auto"/>
                <w:sz w:val="21"/>
                <w:szCs w:val="21"/>
              </w:rPr>
              <w:t>1</w:t>
            </w:r>
          </w:p>
          <w:p>
            <w:pPr>
              <w:pStyle w:val="50"/>
              <w:jc w:val="both"/>
              <w:rPr>
                <w:rFonts w:ascii="Times New Roman" w:hAnsi="Times New Roman" w:cs="Times New Roman"/>
                <w:color w:val="auto"/>
                <w:sz w:val="21"/>
                <w:szCs w:val="21"/>
              </w:rPr>
            </w:pPr>
            <w:r>
              <w:rPr>
                <w:rFonts w:hint="eastAsia" w:ascii="Times New Roman" w:hAnsi="Times New Roman" w:cs="宋体"/>
                <w:color w:val="auto"/>
                <w:sz w:val="21"/>
                <w:szCs w:val="21"/>
              </w:rPr>
              <w:t>业绩要求：见附录</w:t>
            </w:r>
            <w:r>
              <w:rPr>
                <w:rFonts w:ascii="Times New Roman" w:hAnsi="Times New Roman" w:cs="Times New Roman"/>
                <w:color w:val="auto"/>
                <w:sz w:val="21"/>
                <w:szCs w:val="21"/>
              </w:rPr>
              <w:t>2</w:t>
            </w:r>
          </w:p>
          <w:p>
            <w:pPr>
              <w:pStyle w:val="50"/>
              <w:jc w:val="both"/>
              <w:rPr>
                <w:rFonts w:ascii="Times New Roman" w:hAnsi="Times New Roman" w:cs="Times New Roman"/>
                <w:color w:val="auto"/>
                <w:sz w:val="21"/>
                <w:szCs w:val="21"/>
              </w:rPr>
            </w:pPr>
            <w:r>
              <w:rPr>
                <w:rFonts w:hint="eastAsia" w:ascii="Times New Roman" w:hAnsi="Times New Roman" w:cs="宋体"/>
                <w:color w:val="auto"/>
                <w:sz w:val="21"/>
                <w:szCs w:val="21"/>
              </w:rPr>
              <w:t>信誉要求：见附录</w:t>
            </w:r>
            <w:r>
              <w:rPr>
                <w:rFonts w:ascii="Times New Roman" w:hAnsi="Times New Roman" w:cs="Times New Roman"/>
                <w:color w:val="auto"/>
                <w:sz w:val="21"/>
                <w:szCs w:val="21"/>
              </w:rPr>
              <w:t>3</w:t>
            </w:r>
          </w:p>
          <w:p>
            <w:pPr>
              <w:pStyle w:val="50"/>
              <w:jc w:val="both"/>
              <w:rPr>
                <w:rFonts w:ascii="Times New Roman" w:hAnsi="Times New Roman" w:cs="Times New Roman"/>
                <w:color w:val="auto"/>
                <w:sz w:val="21"/>
                <w:szCs w:val="21"/>
              </w:rPr>
            </w:pPr>
            <w:r>
              <w:rPr>
                <w:rFonts w:hint="eastAsia" w:ascii="Times New Roman" w:hAnsi="Times New Roman" w:cs="宋体"/>
                <w:color w:val="auto"/>
                <w:sz w:val="21"/>
                <w:szCs w:val="21"/>
              </w:rPr>
              <w:t>项目负责人资格：见附录</w:t>
            </w:r>
            <w:r>
              <w:rPr>
                <w:rFonts w:ascii="Times New Roman" w:hAnsi="Times New Roman" w:cs="Times New Roman"/>
                <w:color w:val="auto"/>
                <w:sz w:val="21"/>
                <w:szCs w:val="21"/>
              </w:rPr>
              <w:t xml:space="preserve">4 </w:t>
            </w:r>
          </w:p>
          <w:p>
            <w:pPr>
              <w:pStyle w:val="50"/>
              <w:jc w:val="both"/>
              <w:rPr>
                <w:rFonts w:cs="Times New Roman"/>
                <w:color w:val="auto"/>
              </w:rPr>
            </w:pPr>
            <w:r>
              <w:rPr>
                <w:rFonts w:hint="eastAsia" w:ascii="Times New Roman" w:hAnsi="Times New Roman" w:cs="宋体"/>
                <w:color w:val="auto"/>
                <w:sz w:val="21"/>
                <w:szCs w:val="21"/>
              </w:rPr>
              <w:t>其他要求：无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jc w:val="center"/>
        </w:trPr>
        <w:tc>
          <w:tcPr>
            <w:tcW w:w="921" w:type="dxa"/>
            <w:vAlign w:val="center"/>
          </w:tcPr>
          <w:p>
            <w:pPr>
              <w:pStyle w:val="50"/>
              <w:spacing w:line="400" w:lineRule="atLeast"/>
              <w:jc w:val="center"/>
              <w:rPr>
                <w:color w:val="auto"/>
                <w:sz w:val="21"/>
                <w:szCs w:val="21"/>
              </w:rPr>
            </w:pPr>
            <w:r>
              <w:rPr>
                <w:color w:val="auto"/>
                <w:sz w:val="21"/>
                <w:szCs w:val="21"/>
              </w:rPr>
              <w:t>1.4.2</w:t>
            </w:r>
          </w:p>
        </w:tc>
        <w:tc>
          <w:tcPr>
            <w:tcW w:w="2835" w:type="dxa"/>
            <w:vAlign w:val="center"/>
          </w:tcPr>
          <w:p>
            <w:pPr>
              <w:pStyle w:val="50"/>
              <w:spacing w:line="400" w:lineRule="atLeast"/>
              <w:jc w:val="center"/>
              <w:rPr>
                <w:rFonts w:cs="Times New Roman"/>
                <w:color w:val="auto"/>
                <w:sz w:val="21"/>
                <w:szCs w:val="21"/>
              </w:rPr>
            </w:pPr>
            <w:r>
              <w:rPr>
                <w:rFonts w:hint="eastAsia" w:cs="宋体"/>
                <w:color w:val="auto"/>
                <w:sz w:val="21"/>
                <w:szCs w:val="21"/>
              </w:rPr>
              <w:t>是否接受联合体</w:t>
            </w:r>
          </w:p>
        </w:tc>
        <w:tc>
          <w:tcPr>
            <w:tcW w:w="5844" w:type="dxa"/>
            <w:vAlign w:val="center"/>
          </w:tcPr>
          <w:p>
            <w:pPr>
              <w:autoSpaceDE w:val="0"/>
              <w:autoSpaceDN w:val="0"/>
              <w:snapToGrid w:val="0"/>
              <w:rPr>
                <w:rFonts w:hAnsi="Times New Roman" w:cs="Times New Roman"/>
                <w:color w:val="auto"/>
              </w:rPr>
            </w:pPr>
            <w:r>
              <w:rPr>
                <w:rFonts w:hint="eastAsia" w:ascii="Times New Roman" w:hAnsi="Times New Roman" w:cs="Times New Roman"/>
                <w:color w:val="auto"/>
                <w:kern w:val="0"/>
              </w:rPr>
              <w:t>☑</w:t>
            </w:r>
            <w:r>
              <w:rPr>
                <w:rFonts w:hint="eastAsia" w:hAnsi="Times New Roman" w:cs="宋体"/>
                <w:color w:val="auto"/>
              </w:rPr>
              <w:t>不接受</w:t>
            </w:r>
          </w:p>
          <w:p>
            <w:pPr>
              <w:autoSpaceDE w:val="0"/>
              <w:autoSpaceDN w:val="0"/>
              <w:snapToGrid w:val="0"/>
              <w:rPr>
                <w:rFonts w:hAnsi="Times New Roman" w:cs="Times New Roman"/>
                <w:color w:val="auto"/>
              </w:rPr>
            </w:pPr>
            <w:r>
              <w:rPr>
                <w:rFonts w:cs="Times New Roman"/>
                <w:color w:val="auto"/>
                <w:kern w:val="0"/>
                <w:szCs w:val="20"/>
              </w:rPr>
              <w:sym w:font="Wingdings" w:char="00A8"/>
            </w:r>
            <w:r>
              <w:rPr>
                <w:rFonts w:hint="eastAsia" w:hAnsi="Times New Roman" w:cs="宋体"/>
                <w:color w:val="auto"/>
              </w:rPr>
              <w:t>接受，应满足下列要求：</w:t>
            </w:r>
          </w:p>
          <w:p>
            <w:pPr>
              <w:autoSpaceDE w:val="0"/>
              <w:autoSpaceDN w:val="0"/>
              <w:snapToGrid w:val="0"/>
              <w:rPr>
                <w:rFonts w:hAnsi="Times New Roman" w:cs="Times New Roman"/>
                <w:color w:val="auto"/>
              </w:rPr>
            </w:pPr>
            <w:r>
              <w:rPr>
                <w:rFonts w:hint="eastAsia" w:hAnsi="Times New Roman" w:cs="宋体"/>
                <w:color w:val="auto"/>
              </w:rPr>
              <w:t>（</w:t>
            </w:r>
            <w:r>
              <w:rPr>
                <w:rFonts w:hAnsi="Times New Roman"/>
                <w:color w:val="auto"/>
              </w:rPr>
              <w:t>1</w:t>
            </w:r>
            <w:r>
              <w:rPr>
                <w:rFonts w:hint="eastAsia" w:hAnsi="Times New Roman" w:cs="宋体"/>
                <w:color w:val="auto"/>
              </w:rPr>
              <w:t>）联合体所有成员数量不得超过</w:t>
            </w:r>
            <w:r>
              <w:rPr>
                <w:rFonts w:hint="eastAsia" w:hAnsi="Times New Roman"/>
                <w:color w:val="auto"/>
                <w:u w:val="single"/>
              </w:rPr>
              <w:t>/</w:t>
            </w:r>
            <w:r>
              <w:rPr>
                <w:rFonts w:hint="eastAsia" w:hAnsi="Times New Roman" w:cs="宋体"/>
                <w:color w:val="auto"/>
              </w:rPr>
              <w:t>家；</w:t>
            </w:r>
          </w:p>
          <w:p>
            <w:pPr>
              <w:autoSpaceDE w:val="0"/>
              <w:autoSpaceDN w:val="0"/>
              <w:snapToGrid w:val="0"/>
              <w:rPr>
                <w:rFonts w:hAnsi="Times New Roman" w:cs="Times New Roman"/>
                <w:color w:val="auto"/>
              </w:rPr>
            </w:pPr>
            <w:r>
              <w:rPr>
                <w:rFonts w:hint="eastAsia" w:hAnsi="Times New Roman" w:cs="宋体"/>
                <w:color w:val="auto"/>
              </w:rPr>
              <w:t>（</w:t>
            </w:r>
            <w:r>
              <w:rPr>
                <w:rFonts w:hAnsi="Times New Roman"/>
                <w:color w:val="auto"/>
              </w:rPr>
              <w:t>2</w:t>
            </w:r>
            <w:r>
              <w:rPr>
                <w:rFonts w:hint="eastAsia" w:hAnsi="Times New Roman" w:cs="宋体"/>
                <w:color w:val="auto"/>
              </w:rPr>
              <w:t>）联合体牵头人应具有</w:t>
            </w:r>
            <w:r>
              <w:rPr>
                <w:rFonts w:hint="eastAsia" w:hAnsi="Times New Roman" w:cs="宋体"/>
                <w:color w:val="auto"/>
                <w:u w:val="single"/>
              </w:rPr>
              <w:t>/</w:t>
            </w:r>
            <w:r>
              <w:rPr>
                <w:rFonts w:hint="eastAsia" w:hAnsi="Times New Roman" w:cs="宋体"/>
                <w:color w:val="auto"/>
              </w:rPr>
              <w:t>资质；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jc w:val="center"/>
        </w:trPr>
        <w:tc>
          <w:tcPr>
            <w:tcW w:w="921" w:type="dxa"/>
            <w:vAlign w:val="center"/>
          </w:tcPr>
          <w:p>
            <w:pPr>
              <w:pStyle w:val="50"/>
              <w:spacing w:line="400" w:lineRule="atLeast"/>
              <w:jc w:val="center"/>
              <w:rPr>
                <w:color w:val="auto"/>
                <w:sz w:val="21"/>
                <w:szCs w:val="21"/>
              </w:rPr>
            </w:pPr>
            <w:r>
              <w:rPr>
                <w:color w:val="auto"/>
                <w:sz w:val="21"/>
                <w:szCs w:val="21"/>
              </w:rPr>
              <w:t>1.4.3</w:t>
            </w:r>
          </w:p>
        </w:tc>
        <w:tc>
          <w:tcPr>
            <w:tcW w:w="2835" w:type="dxa"/>
            <w:vAlign w:val="center"/>
          </w:tcPr>
          <w:p>
            <w:pPr>
              <w:autoSpaceDE w:val="0"/>
              <w:autoSpaceDN w:val="0"/>
              <w:snapToGrid w:val="0"/>
              <w:spacing w:line="400" w:lineRule="atLeast"/>
              <w:jc w:val="center"/>
              <w:rPr>
                <w:rFonts w:cs="Times New Roman"/>
                <w:color w:val="auto"/>
              </w:rPr>
            </w:pPr>
            <w:r>
              <w:rPr>
                <w:rFonts w:hint="eastAsia" w:cs="宋体"/>
                <w:color w:val="auto"/>
                <w:kern w:val="0"/>
              </w:rPr>
              <w:t>投标人不得存在的其他关联情形</w:t>
            </w:r>
          </w:p>
        </w:tc>
        <w:tc>
          <w:tcPr>
            <w:tcW w:w="5844" w:type="dxa"/>
            <w:vAlign w:val="center"/>
          </w:tcPr>
          <w:p>
            <w:pPr>
              <w:pStyle w:val="50"/>
              <w:jc w:val="both"/>
              <w:rPr>
                <w:rFonts w:cs="Times New Roman"/>
                <w:color w:val="auto"/>
                <w:sz w:val="21"/>
                <w:szCs w:val="21"/>
              </w:rPr>
            </w:pPr>
            <w:r>
              <w:rPr>
                <w:rFonts w:hint="eastAsia" w:cs="宋体"/>
                <w:color w:val="auto"/>
                <w:sz w:val="21"/>
                <w:szCs w:val="21"/>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7" w:hRule="atLeast"/>
          <w:jc w:val="center"/>
        </w:trPr>
        <w:tc>
          <w:tcPr>
            <w:tcW w:w="921" w:type="dxa"/>
            <w:vAlign w:val="center"/>
          </w:tcPr>
          <w:p>
            <w:pPr>
              <w:pStyle w:val="50"/>
              <w:spacing w:line="400" w:lineRule="atLeast"/>
              <w:jc w:val="center"/>
              <w:rPr>
                <w:color w:val="auto"/>
                <w:sz w:val="21"/>
                <w:szCs w:val="21"/>
              </w:rPr>
            </w:pPr>
            <w:r>
              <w:rPr>
                <w:color w:val="auto"/>
                <w:sz w:val="21"/>
                <w:szCs w:val="21"/>
              </w:rPr>
              <w:t>1.4.4</w:t>
            </w:r>
          </w:p>
        </w:tc>
        <w:tc>
          <w:tcPr>
            <w:tcW w:w="2835" w:type="dxa"/>
            <w:vAlign w:val="center"/>
          </w:tcPr>
          <w:p>
            <w:pPr>
              <w:autoSpaceDE w:val="0"/>
              <w:autoSpaceDN w:val="0"/>
              <w:snapToGrid w:val="0"/>
              <w:spacing w:line="400" w:lineRule="atLeast"/>
              <w:jc w:val="center"/>
              <w:rPr>
                <w:rFonts w:cs="Times New Roman"/>
                <w:color w:val="auto"/>
              </w:rPr>
            </w:pPr>
            <w:r>
              <w:rPr>
                <w:rFonts w:hint="eastAsia" w:cs="宋体"/>
                <w:color w:val="auto"/>
                <w:kern w:val="0"/>
              </w:rPr>
              <w:t>投标人不得存在的其他不良状况或不良信用记录</w:t>
            </w:r>
          </w:p>
        </w:tc>
        <w:tc>
          <w:tcPr>
            <w:tcW w:w="5844" w:type="dxa"/>
            <w:vAlign w:val="center"/>
          </w:tcPr>
          <w:p>
            <w:pPr>
              <w:pStyle w:val="50"/>
              <w:jc w:val="both"/>
              <w:rPr>
                <w:rFonts w:cs="Times New Roman"/>
                <w:color w:val="auto"/>
                <w:sz w:val="21"/>
                <w:szCs w:val="21"/>
              </w:rPr>
            </w:pPr>
            <w:r>
              <w:rPr>
                <w:rFonts w:hint="eastAsia" w:cs="宋体"/>
                <w:color w:val="auto"/>
                <w:sz w:val="21"/>
                <w:szCs w:val="21"/>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921" w:type="dxa"/>
            <w:vMerge w:val="restart"/>
            <w:vAlign w:val="center"/>
          </w:tcPr>
          <w:p>
            <w:pPr>
              <w:autoSpaceDE w:val="0"/>
              <w:autoSpaceDN w:val="0"/>
              <w:snapToGrid w:val="0"/>
              <w:spacing w:line="400" w:lineRule="atLeast"/>
              <w:jc w:val="center"/>
              <w:rPr>
                <w:rFonts w:cs="Times New Roman"/>
                <w:color w:val="auto"/>
              </w:rPr>
            </w:pPr>
            <w:r>
              <w:rPr>
                <w:color w:val="auto"/>
                <w:kern w:val="0"/>
              </w:rPr>
              <w:t>1.10.2</w:t>
            </w:r>
          </w:p>
        </w:tc>
        <w:tc>
          <w:tcPr>
            <w:tcW w:w="2835" w:type="dxa"/>
            <w:vMerge w:val="restart"/>
            <w:vAlign w:val="center"/>
          </w:tcPr>
          <w:p>
            <w:pPr>
              <w:autoSpaceDE w:val="0"/>
              <w:autoSpaceDN w:val="0"/>
              <w:snapToGrid w:val="0"/>
              <w:spacing w:line="400" w:lineRule="atLeast"/>
              <w:jc w:val="center"/>
              <w:rPr>
                <w:rFonts w:cs="Times New Roman"/>
                <w:color w:val="auto"/>
              </w:rPr>
            </w:pPr>
            <w:r>
              <w:rPr>
                <w:rFonts w:hint="eastAsia" w:cs="宋体"/>
                <w:color w:val="auto"/>
                <w:kern w:val="0"/>
              </w:rPr>
              <w:t>投标人在投标预备会前提出问题</w:t>
            </w:r>
          </w:p>
        </w:tc>
        <w:tc>
          <w:tcPr>
            <w:tcW w:w="5844" w:type="dxa"/>
            <w:vAlign w:val="center"/>
          </w:tcPr>
          <w:p>
            <w:pPr>
              <w:autoSpaceDE w:val="0"/>
              <w:autoSpaceDN w:val="0"/>
              <w:snapToGrid w:val="0"/>
              <w:rPr>
                <w:rFonts w:cs="Times New Roman"/>
                <w:color w:val="auto"/>
              </w:rPr>
            </w:pPr>
            <w:r>
              <w:rPr>
                <w:rFonts w:hint="eastAsia" w:cs="宋体"/>
                <w:color w:val="auto"/>
                <w:kern w:val="0"/>
              </w:rPr>
              <w:t>时间：不组织投标预备会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921" w:type="dxa"/>
            <w:vMerge w:val="continue"/>
            <w:vAlign w:val="center"/>
          </w:tcPr>
          <w:p>
            <w:pPr>
              <w:autoSpaceDE w:val="0"/>
              <w:autoSpaceDN w:val="0"/>
              <w:snapToGrid w:val="0"/>
              <w:rPr>
                <w:rFonts w:cs="Times New Roman"/>
                <w:color w:val="auto"/>
              </w:rPr>
            </w:pPr>
          </w:p>
        </w:tc>
        <w:tc>
          <w:tcPr>
            <w:tcW w:w="2835" w:type="dxa"/>
            <w:vMerge w:val="continue"/>
            <w:vAlign w:val="center"/>
          </w:tcPr>
          <w:p>
            <w:pPr>
              <w:autoSpaceDE w:val="0"/>
              <w:autoSpaceDN w:val="0"/>
              <w:snapToGrid w:val="0"/>
              <w:rPr>
                <w:rFonts w:cs="Times New Roman"/>
                <w:color w:val="auto"/>
              </w:rPr>
            </w:pPr>
          </w:p>
        </w:tc>
        <w:tc>
          <w:tcPr>
            <w:tcW w:w="5844" w:type="dxa"/>
            <w:vAlign w:val="center"/>
          </w:tcPr>
          <w:p>
            <w:pPr>
              <w:autoSpaceDE w:val="0"/>
              <w:autoSpaceDN w:val="0"/>
              <w:snapToGrid w:val="0"/>
              <w:rPr>
                <w:rFonts w:cs="Times New Roman"/>
                <w:color w:val="auto"/>
                <w:kern w:val="0"/>
              </w:rPr>
            </w:pPr>
            <w:r>
              <w:rPr>
                <w:rFonts w:hint="eastAsia" w:cs="宋体"/>
                <w:color w:val="auto"/>
                <w:kern w:val="0"/>
              </w:rPr>
              <w:t>形式：不组织投标预备会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0" w:hRule="atLeast"/>
          <w:jc w:val="center"/>
        </w:trPr>
        <w:tc>
          <w:tcPr>
            <w:tcW w:w="921" w:type="dxa"/>
            <w:vAlign w:val="center"/>
          </w:tcPr>
          <w:p>
            <w:pPr>
              <w:autoSpaceDE w:val="0"/>
              <w:autoSpaceDN w:val="0"/>
              <w:snapToGrid w:val="0"/>
              <w:spacing w:line="400" w:lineRule="atLeast"/>
              <w:jc w:val="center"/>
              <w:rPr>
                <w:rFonts w:cs="Times New Roman"/>
                <w:color w:val="auto"/>
              </w:rPr>
            </w:pPr>
            <w:r>
              <w:rPr>
                <w:color w:val="auto"/>
                <w:kern w:val="0"/>
              </w:rPr>
              <w:t>1.11.1</w:t>
            </w:r>
          </w:p>
        </w:tc>
        <w:tc>
          <w:tcPr>
            <w:tcW w:w="2835" w:type="dxa"/>
            <w:vAlign w:val="center"/>
          </w:tcPr>
          <w:p>
            <w:pPr>
              <w:autoSpaceDE w:val="0"/>
              <w:autoSpaceDN w:val="0"/>
              <w:snapToGrid w:val="0"/>
              <w:spacing w:line="400" w:lineRule="atLeast"/>
              <w:jc w:val="center"/>
              <w:rPr>
                <w:rFonts w:cs="Times New Roman"/>
                <w:color w:val="auto"/>
              </w:rPr>
            </w:pPr>
            <w:r>
              <w:rPr>
                <w:rFonts w:hint="eastAsia" w:cs="宋体"/>
                <w:color w:val="auto"/>
                <w:kern w:val="0"/>
              </w:rPr>
              <w:t>分包</w:t>
            </w:r>
          </w:p>
        </w:tc>
        <w:tc>
          <w:tcPr>
            <w:tcW w:w="5844" w:type="dxa"/>
            <w:vAlign w:val="center"/>
          </w:tcPr>
          <w:p>
            <w:pPr>
              <w:pStyle w:val="50"/>
              <w:ind w:left="840" w:hanging="840" w:hangingChars="350"/>
              <w:jc w:val="both"/>
              <w:rPr>
                <w:rFonts w:cs="Times New Roman"/>
                <w:color w:val="auto"/>
                <w:sz w:val="21"/>
                <w:szCs w:val="21"/>
              </w:rPr>
            </w:pPr>
            <w:r>
              <w:rPr>
                <w:rFonts w:cs="Times New Roman"/>
                <w:color w:val="auto"/>
              </w:rPr>
              <w:sym w:font="Wingdings" w:char="F0FE"/>
            </w:r>
            <w:r>
              <w:rPr>
                <w:rFonts w:hint="eastAsia" w:cs="宋体"/>
                <w:color w:val="auto"/>
                <w:sz w:val="21"/>
                <w:szCs w:val="21"/>
              </w:rPr>
              <w:t>不允许</w:t>
            </w:r>
            <w:r>
              <w:rPr>
                <w:rFonts w:hint="eastAsia" w:hAnsi="Times New Roman" w:cs="宋体"/>
                <w:color w:val="auto"/>
                <w:sz w:val="21"/>
                <w:szCs w:val="21"/>
              </w:rPr>
              <w:t>（本次招标范围内全部工程）</w:t>
            </w:r>
          </w:p>
          <w:p>
            <w:pPr>
              <w:autoSpaceDE w:val="0"/>
              <w:autoSpaceDN w:val="0"/>
              <w:snapToGrid w:val="0"/>
              <w:ind w:left="840" w:hanging="840"/>
              <w:rPr>
                <w:rFonts w:cs="Times New Roman"/>
                <w:color w:val="auto"/>
              </w:rPr>
            </w:pPr>
            <w:r>
              <w:rPr>
                <w:color w:val="auto"/>
                <w:kern w:val="0"/>
              </w:rPr>
              <w:t>□</w:t>
            </w:r>
            <w:r>
              <w:rPr>
                <w:rFonts w:hint="eastAsia" w:cs="宋体"/>
                <w:color w:val="auto"/>
                <w:kern w:val="0"/>
              </w:rPr>
              <w:t>允许，允许分包的工程（或不允许分包的工程）：</w:t>
            </w:r>
            <w:r>
              <w:rPr>
                <w:rFonts w:hint="eastAsia" w:cs="宋体"/>
                <w:color w:val="auto"/>
                <w:kern w:val="0"/>
                <w:u w:val="single"/>
              </w:rPr>
              <w:t>。</w:t>
            </w:r>
          </w:p>
          <w:p>
            <w:pPr>
              <w:autoSpaceDE w:val="0"/>
              <w:autoSpaceDN w:val="0"/>
              <w:snapToGrid w:val="0"/>
              <w:ind w:left="795" w:hanging="480"/>
              <w:rPr>
                <w:rFonts w:cs="Times New Roman"/>
                <w:color w:val="auto"/>
              </w:rPr>
            </w:pPr>
            <w:r>
              <w:rPr>
                <w:rFonts w:hint="eastAsia" w:cs="宋体"/>
                <w:color w:val="auto"/>
                <w:kern w:val="0"/>
              </w:rPr>
              <w:t>对分包人的资格要求：</w:t>
            </w:r>
            <w:r>
              <w:rPr>
                <w:rFonts w:hint="eastAsia" w:cs="宋体"/>
                <w:color w:val="auto"/>
                <w:kern w:val="0"/>
                <w:u w:val="singl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6" w:hRule="atLeast"/>
          <w:jc w:val="center"/>
        </w:trPr>
        <w:tc>
          <w:tcPr>
            <w:tcW w:w="921" w:type="dxa"/>
            <w:vAlign w:val="center"/>
          </w:tcPr>
          <w:p>
            <w:pPr>
              <w:pStyle w:val="50"/>
              <w:spacing w:line="400" w:lineRule="atLeast"/>
              <w:jc w:val="center"/>
              <w:rPr>
                <w:color w:val="auto"/>
                <w:sz w:val="21"/>
                <w:szCs w:val="21"/>
              </w:rPr>
            </w:pPr>
            <w:r>
              <w:rPr>
                <w:color w:val="auto"/>
                <w:sz w:val="21"/>
                <w:szCs w:val="21"/>
              </w:rPr>
              <w:t>2.1</w:t>
            </w:r>
          </w:p>
        </w:tc>
        <w:tc>
          <w:tcPr>
            <w:tcW w:w="2835" w:type="dxa"/>
            <w:vAlign w:val="center"/>
          </w:tcPr>
          <w:p>
            <w:pPr>
              <w:pStyle w:val="50"/>
              <w:spacing w:line="400" w:lineRule="atLeast"/>
              <w:jc w:val="center"/>
              <w:rPr>
                <w:rFonts w:cs="Times New Roman"/>
                <w:color w:val="auto"/>
                <w:sz w:val="21"/>
                <w:szCs w:val="21"/>
              </w:rPr>
            </w:pPr>
            <w:r>
              <w:rPr>
                <w:rFonts w:hint="eastAsia" w:cs="宋体"/>
                <w:color w:val="auto"/>
                <w:sz w:val="21"/>
                <w:szCs w:val="21"/>
              </w:rPr>
              <w:t>构成招标文件的其他材料</w:t>
            </w:r>
          </w:p>
        </w:tc>
        <w:tc>
          <w:tcPr>
            <w:tcW w:w="5844" w:type="dxa"/>
            <w:vAlign w:val="center"/>
          </w:tcPr>
          <w:p>
            <w:pPr>
              <w:pStyle w:val="50"/>
              <w:spacing w:line="400" w:lineRule="atLeast"/>
              <w:jc w:val="both"/>
              <w:rPr>
                <w:rFonts w:cs="Times New Roman"/>
                <w:color w:val="auto"/>
                <w:sz w:val="21"/>
                <w:szCs w:val="21"/>
              </w:rPr>
            </w:pPr>
            <w:r>
              <w:rPr>
                <w:rFonts w:hint="eastAsia" w:cs="宋体"/>
                <w:color w:val="auto"/>
                <w:sz w:val="21"/>
                <w:szCs w:val="21"/>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atLeast"/>
          <w:jc w:val="center"/>
        </w:trPr>
        <w:tc>
          <w:tcPr>
            <w:tcW w:w="921" w:type="dxa"/>
            <w:vMerge w:val="restart"/>
            <w:vAlign w:val="center"/>
          </w:tcPr>
          <w:p>
            <w:pPr>
              <w:autoSpaceDE w:val="0"/>
              <w:autoSpaceDN w:val="0"/>
              <w:snapToGrid w:val="0"/>
              <w:spacing w:line="400" w:lineRule="atLeast"/>
              <w:jc w:val="center"/>
              <w:rPr>
                <w:rFonts w:cs="Times New Roman"/>
                <w:color w:val="auto"/>
              </w:rPr>
            </w:pPr>
            <w:r>
              <w:rPr>
                <w:color w:val="auto"/>
                <w:kern w:val="0"/>
              </w:rPr>
              <w:t>2.2.1</w:t>
            </w:r>
          </w:p>
        </w:tc>
        <w:tc>
          <w:tcPr>
            <w:tcW w:w="2835" w:type="dxa"/>
            <w:vMerge w:val="restart"/>
            <w:vAlign w:val="center"/>
          </w:tcPr>
          <w:p>
            <w:pPr>
              <w:autoSpaceDE w:val="0"/>
              <w:autoSpaceDN w:val="0"/>
              <w:snapToGrid w:val="0"/>
              <w:jc w:val="center"/>
              <w:rPr>
                <w:rFonts w:cs="Times New Roman"/>
                <w:color w:val="auto"/>
              </w:rPr>
            </w:pPr>
            <w:r>
              <w:rPr>
                <w:rFonts w:hint="eastAsia" w:cs="宋体"/>
                <w:color w:val="auto"/>
                <w:kern w:val="0"/>
              </w:rPr>
              <w:t>投标人要求澄清招标文件</w:t>
            </w:r>
          </w:p>
        </w:tc>
        <w:tc>
          <w:tcPr>
            <w:tcW w:w="5844" w:type="dxa"/>
            <w:vAlign w:val="center"/>
          </w:tcPr>
          <w:p>
            <w:pPr>
              <w:autoSpaceDE w:val="0"/>
              <w:autoSpaceDN w:val="0"/>
              <w:snapToGrid w:val="0"/>
              <w:spacing w:line="400" w:lineRule="atLeast"/>
              <w:rPr>
                <w:rFonts w:cs="Times New Roman"/>
                <w:color w:val="auto"/>
              </w:rPr>
            </w:pPr>
            <w:r>
              <w:rPr>
                <w:rFonts w:hint="eastAsia" w:cs="宋体"/>
                <w:color w:val="auto"/>
                <w:kern w:val="0"/>
              </w:rPr>
              <w:t>时间：</w:t>
            </w:r>
            <w:r>
              <w:rPr>
                <w:rFonts w:hint="eastAsia"/>
                <w:color w:val="auto"/>
                <w:kern w:val="0"/>
                <w:u w:val="single"/>
              </w:rPr>
              <w:t>2022</w:t>
            </w:r>
            <w:r>
              <w:rPr>
                <w:rFonts w:hint="eastAsia" w:cs="宋体"/>
                <w:color w:val="auto"/>
                <w:kern w:val="0"/>
              </w:rPr>
              <w:t>年</w:t>
            </w:r>
            <w:r>
              <w:rPr>
                <w:rFonts w:hint="eastAsia" w:cs="宋体"/>
                <w:color w:val="auto"/>
                <w:kern w:val="0"/>
                <w:u w:val="single"/>
              </w:rPr>
              <w:t>5</w:t>
            </w:r>
            <w:r>
              <w:rPr>
                <w:rFonts w:hint="eastAsia" w:cs="宋体"/>
                <w:color w:val="auto"/>
                <w:kern w:val="0"/>
              </w:rPr>
              <w:t>月</w:t>
            </w:r>
            <w:r>
              <w:rPr>
                <w:rFonts w:hint="eastAsia" w:cs="宋体"/>
                <w:color w:val="auto"/>
                <w:kern w:val="0"/>
                <w:u w:val="single"/>
              </w:rPr>
              <w:t>9</w:t>
            </w:r>
            <w:r>
              <w:rPr>
                <w:rFonts w:hint="eastAsia" w:cs="宋体"/>
                <w:color w:val="auto"/>
                <w:kern w:val="0"/>
              </w:rPr>
              <w:t>日</w:t>
            </w:r>
            <w:r>
              <w:rPr>
                <w:rFonts w:hint="eastAsia"/>
                <w:color w:val="auto"/>
                <w:kern w:val="0"/>
                <w:u w:val="single"/>
              </w:rPr>
              <w:t>9</w:t>
            </w:r>
            <w:r>
              <w:rPr>
                <w:rFonts w:hint="eastAsia" w:cs="宋体"/>
                <w:color w:val="auto"/>
                <w:kern w:val="0"/>
              </w:rPr>
              <w:t>时</w:t>
            </w:r>
            <w:r>
              <w:rPr>
                <w:rFonts w:hint="eastAsia"/>
                <w:color w:val="auto"/>
                <w:kern w:val="0"/>
                <w:u w:val="single"/>
              </w:rPr>
              <w:t>30</w:t>
            </w:r>
            <w:r>
              <w:rPr>
                <w:rFonts w:hint="eastAsia" w:cs="宋体"/>
                <w:color w:val="auto"/>
                <w:kern w:val="0"/>
              </w:rPr>
              <w:t>分前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atLeast"/>
          <w:jc w:val="center"/>
        </w:trPr>
        <w:tc>
          <w:tcPr>
            <w:tcW w:w="921" w:type="dxa"/>
            <w:vMerge w:val="continue"/>
            <w:vAlign w:val="center"/>
          </w:tcPr>
          <w:p>
            <w:pPr>
              <w:autoSpaceDE w:val="0"/>
              <w:autoSpaceDN w:val="0"/>
              <w:snapToGrid w:val="0"/>
              <w:spacing w:line="400" w:lineRule="atLeast"/>
              <w:rPr>
                <w:rFonts w:cs="Times New Roman"/>
                <w:color w:val="auto"/>
              </w:rPr>
            </w:pPr>
          </w:p>
        </w:tc>
        <w:tc>
          <w:tcPr>
            <w:tcW w:w="2835" w:type="dxa"/>
            <w:vMerge w:val="continue"/>
            <w:vAlign w:val="center"/>
          </w:tcPr>
          <w:p>
            <w:pPr>
              <w:autoSpaceDE w:val="0"/>
              <w:autoSpaceDN w:val="0"/>
              <w:snapToGrid w:val="0"/>
              <w:spacing w:line="400" w:lineRule="atLeast"/>
              <w:rPr>
                <w:rFonts w:cs="Times New Roman"/>
                <w:color w:val="auto"/>
              </w:rPr>
            </w:pPr>
          </w:p>
        </w:tc>
        <w:tc>
          <w:tcPr>
            <w:tcW w:w="5844" w:type="dxa"/>
            <w:vAlign w:val="center"/>
          </w:tcPr>
          <w:p>
            <w:pPr>
              <w:autoSpaceDE w:val="0"/>
              <w:autoSpaceDN w:val="0"/>
              <w:snapToGrid w:val="0"/>
              <w:spacing w:line="400" w:lineRule="atLeast"/>
              <w:rPr>
                <w:rFonts w:cs="Times New Roman"/>
                <w:color w:val="auto"/>
                <w:kern w:val="0"/>
              </w:rPr>
            </w:pPr>
            <w:r>
              <w:rPr>
                <w:rFonts w:hint="eastAsia" w:cs="宋体"/>
                <w:color w:val="auto"/>
                <w:kern w:val="0"/>
              </w:rPr>
              <w:t>形式：传真或扫描件电子文件传至招标代理电子邮箱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atLeast"/>
          <w:jc w:val="center"/>
        </w:trPr>
        <w:tc>
          <w:tcPr>
            <w:tcW w:w="921" w:type="dxa"/>
            <w:vAlign w:val="center"/>
          </w:tcPr>
          <w:p>
            <w:pPr>
              <w:autoSpaceDE w:val="0"/>
              <w:autoSpaceDN w:val="0"/>
              <w:snapToGrid w:val="0"/>
              <w:jc w:val="center"/>
              <w:rPr>
                <w:rFonts w:cs="Times New Roman"/>
                <w:color w:val="auto"/>
              </w:rPr>
            </w:pPr>
            <w:r>
              <w:rPr>
                <w:color w:val="auto"/>
                <w:kern w:val="0"/>
              </w:rPr>
              <w:t>2.2.2</w:t>
            </w:r>
          </w:p>
        </w:tc>
        <w:tc>
          <w:tcPr>
            <w:tcW w:w="2835" w:type="dxa"/>
            <w:vAlign w:val="center"/>
          </w:tcPr>
          <w:p>
            <w:pPr>
              <w:autoSpaceDE w:val="0"/>
              <w:autoSpaceDN w:val="0"/>
              <w:snapToGrid w:val="0"/>
              <w:jc w:val="center"/>
              <w:rPr>
                <w:rFonts w:cs="Times New Roman"/>
                <w:color w:val="auto"/>
              </w:rPr>
            </w:pPr>
            <w:r>
              <w:rPr>
                <w:rFonts w:hint="eastAsia" w:cs="宋体"/>
                <w:color w:val="auto"/>
                <w:kern w:val="0"/>
              </w:rPr>
              <w:t>招标文件澄清发出的形式</w:t>
            </w:r>
          </w:p>
        </w:tc>
        <w:tc>
          <w:tcPr>
            <w:tcW w:w="5844" w:type="dxa"/>
            <w:vAlign w:val="center"/>
          </w:tcPr>
          <w:p>
            <w:pPr>
              <w:wordWrap w:val="0"/>
              <w:autoSpaceDE w:val="0"/>
              <w:autoSpaceDN w:val="0"/>
              <w:adjustRightInd w:val="0"/>
              <w:snapToGrid w:val="0"/>
              <w:rPr>
                <w:rFonts w:cs="Times New Roman"/>
                <w:color w:val="auto"/>
                <w:kern w:val="0"/>
              </w:rPr>
            </w:pPr>
            <w:r>
              <w:rPr>
                <w:rFonts w:hint="eastAsia" w:cs="宋体"/>
                <w:color w:val="auto"/>
                <w:kern w:val="0"/>
              </w:rPr>
              <w:t>在天津市公共资源交易网（http://60.28.163.169/）、天津市滨海新区交通运输局官网（（http://jtysj.tjbh.gov.cn/）发布。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8" w:hRule="atLeast"/>
          <w:jc w:val="center"/>
        </w:trPr>
        <w:tc>
          <w:tcPr>
            <w:tcW w:w="921" w:type="dxa"/>
            <w:vMerge w:val="restart"/>
            <w:vAlign w:val="center"/>
          </w:tcPr>
          <w:p>
            <w:pPr>
              <w:autoSpaceDE w:val="0"/>
              <w:autoSpaceDN w:val="0"/>
              <w:snapToGrid w:val="0"/>
              <w:spacing w:line="400" w:lineRule="atLeast"/>
              <w:jc w:val="center"/>
              <w:rPr>
                <w:rFonts w:cs="Times New Roman"/>
                <w:color w:val="auto"/>
              </w:rPr>
            </w:pPr>
            <w:r>
              <w:rPr>
                <w:color w:val="auto"/>
                <w:kern w:val="0"/>
              </w:rPr>
              <w:t>2.2.3</w:t>
            </w:r>
          </w:p>
        </w:tc>
        <w:tc>
          <w:tcPr>
            <w:tcW w:w="2835" w:type="dxa"/>
            <w:vMerge w:val="restart"/>
            <w:vAlign w:val="center"/>
          </w:tcPr>
          <w:p>
            <w:pPr>
              <w:autoSpaceDE w:val="0"/>
              <w:autoSpaceDN w:val="0"/>
              <w:snapToGrid w:val="0"/>
              <w:jc w:val="center"/>
              <w:rPr>
                <w:rFonts w:cs="Times New Roman"/>
                <w:color w:val="auto"/>
              </w:rPr>
            </w:pPr>
            <w:r>
              <w:rPr>
                <w:rFonts w:hint="eastAsia" w:cs="宋体"/>
                <w:color w:val="auto"/>
                <w:kern w:val="0"/>
              </w:rPr>
              <w:t>投标人确认收到招标文件澄清</w:t>
            </w:r>
          </w:p>
        </w:tc>
        <w:tc>
          <w:tcPr>
            <w:tcW w:w="5844" w:type="dxa"/>
            <w:vAlign w:val="center"/>
          </w:tcPr>
          <w:p>
            <w:pPr>
              <w:autoSpaceDE w:val="0"/>
              <w:autoSpaceDN w:val="0"/>
              <w:snapToGrid w:val="0"/>
              <w:spacing w:line="400" w:lineRule="atLeast"/>
              <w:rPr>
                <w:rFonts w:cs="Times New Roman"/>
                <w:color w:val="auto"/>
                <w:u w:val="single"/>
              </w:rPr>
            </w:pPr>
            <w:r>
              <w:rPr>
                <w:rFonts w:hint="eastAsia" w:cs="宋体"/>
                <w:color w:val="auto"/>
                <w:kern w:val="0"/>
              </w:rPr>
              <w:t>时间：收到澄清后</w:t>
            </w:r>
            <w:r>
              <w:rPr>
                <w:color w:val="auto"/>
                <w:kern w:val="0"/>
                <w:u w:val="single"/>
              </w:rPr>
              <w:t xml:space="preserve"> 24 </w:t>
            </w:r>
            <w:r>
              <w:rPr>
                <w:rFonts w:hint="eastAsia" w:cs="宋体"/>
                <w:color w:val="auto"/>
                <w:kern w:val="0"/>
              </w:rPr>
              <w:t>小时内（以发出时间为准）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7" w:hRule="atLeast"/>
          <w:jc w:val="center"/>
        </w:trPr>
        <w:tc>
          <w:tcPr>
            <w:tcW w:w="921" w:type="dxa"/>
            <w:vMerge w:val="continue"/>
            <w:vAlign w:val="center"/>
          </w:tcPr>
          <w:p>
            <w:pPr>
              <w:autoSpaceDE w:val="0"/>
              <w:autoSpaceDN w:val="0"/>
              <w:snapToGrid w:val="0"/>
              <w:spacing w:line="400" w:lineRule="atLeast"/>
              <w:rPr>
                <w:rFonts w:cs="Times New Roman"/>
                <w:color w:val="auto"/>
              </w:rPr>
            </w:pPr>
          </w:p>
        </w:tc>
        <w:tc>
          <w:tcPr>
            <w:tcW w:w="2835" w:type="dxa"/>
            <w:vMerge w:val="continue"/>
            <w:vAlign w:val="center"/>
          </w:tcPr>
          <w:p>
            <w:pPr>
              <w:autoSpaceDE w:val="0"/>
              <w:autoSpaceDN w:val="0"/>
              <w:snapToGrid w:val="0"/>
              <w:spacing w:line="400" w:lineRule="atLeast"/>
              <w:rPr>
                <w:rFonts w:cs="Times New Roman"/>
                <w:color w:val="auto"/>
              </w:rPr>
            </w:pPr>
          </w:p>
        </w:tc>
        <w:tc>
          <w:tcPr>
            <w:tcW w:w="5844" w:type="dxa"/>
            <w:vAlign w:val="center"/>
          </w:tcPr>
          <w:p>
            <w:pPr>
              <w:autoSpaceDE w:val="0"/>
              <w:autoSpaceDN w:val="0"/>
              <w:snapToGrid w:val="0"/>
              <w:spacing w:line="400" w:lineRule="atLeast"/>
              <w:rPr>
                <w:rFonts w:cs="Times New Roman"/>
                <w:color w:val="auto"/>
                <w:kern w:val="0"/>
              </w:rPr>
            </w:pPr>
            <w:r>
              <w:rPr>
                <w:rFonts w:hint="eastAsia" w:cs="宋体"/>
                <w:color w:val="auto"/>
                <w:kern w:val="0"/>
              </w:rPr>
              <w:t>形式：传真或扫描件电子文件传至招标代理电子邮箱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7" w:hRule="atLeast"/>
          <w:jc w:val="center"/>
        </w:trPr>
        <w:tc>
          <w:tcPr>
            <w:tcW w:w="921" w:type="dxa"/>
            <w:vAlign w:val="center"/>
          </w:tcPr>
          <w:p>
            <w:pPr>
              <w:autoSpaceDE w:val="0"/>
              <w:autoSpaceDN w:val="0"/>
              <w:snapToGrid w:val="0"/>
              <w:spacing w:line="400" w:lineRule="atLeast"/>
              <w:jc w:val="center"/>
              <w:rPr>
                <w:rFonts w:cs="Times New Roman"/>
                <w:color w:val="auto"/>
              </w:rPr>
            </w:pPr>
            <w:r>
              <w:rPr>
                <w:color w:val="auto"/>
                <w:kern w:val="0"/>
              </w:rPr>
              <w:t>2.3.1</w:t>
            </w:r>
          </w:p>
        </w:tc>
        <w:tc>
          <w:tcPr>
            <w:tcW w:w="2835" w:type="dxa"/>
            <w:vAlign w:val="center"/>
          </w:tcPr>
          <w:p>
            <w:pPr>
              <w:autoSpaceDE w:val="0"/>
              <w:autoSpaceDN w:val="0"/>
              <w:snapToGrid w:val="0"/>
              <w:jc w:val="center"/>
              <w:rPr>
                <w:rFonts w:cs="Times New Roman"/>
                <w:color w:val="auto"/>
              </w:rPr>
            </w:pPr>
            <w:r>
              <w:rPr>
                <w:rFonts w:hint="eastAsia" w:cs="宋体"/>
                <w:color w:val="auto"/>
                <w:kern w:val="0"/>
              </w:rPr>
              <w:t>招标文件修改发出的形式</w:t>
            </w:r>
          </w:p>
        </w:tc>
        <w:tc>
          <w:tcPr>
            <w:tcW w:w="5844" w:type="dxa"/>
            <w:vAlign w:val="center"/>
          </w:tcPr>
          <w:p>
            <w:pPr>
              <w:wordWrap w:val="0"/>
              <w:autoSpaceDE w:val="0"/>
              <w:autoSpaceDN w:val="0"/>
              <w:snapToGrid w:val="0"/>
              <w:rPr>
                <w:rFonts w:cs="Times New Roman"/>
                <w:color w:val="auto"/>
                <w:kern w:val="0"/>
              </w:rPr>
            </w:pPr>
            <w:r>
              <w:rPr>
                <w:rFonts w:hint="eastAsia" w:cs="宋体"/>
                <w:color w:val="auto"/>
                <w:kern w:val="0"/>
              </w:rPr>
              <w:t>在天津市公共资源交易网（http://60.28.163.169/）、天津市滨海新区交通运输局官网（（http://jtysj.tjbh.gov.cn/）发布。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3" w:hRule="atLeast"/>
          <w:jc w:val="center"/>
        </w:trPr>
        <w:tc>
          <w:tcPr>
            <w:tcW w:w="921" w:type="dxa"/>
            <w:vMerge w:val="restart"/>
            <w:vAlign w:val="center"/>
          </w:tcPr>
          <w:p>
            <w:pPr>
              <w:autoSpaceDE w:val="0"/>
              <w:autoSpaceDN w:val="0"/>
              <w:snapToGrid w:val="0"/>
              <w:spacing w:line="400" w:lineRule="atLeast"/>
              <w:jc w:val="center"/>
              <w:rPr>
                <w:color w:val="auto"/>
                <w:kern w:val="0"/>
              </w:rPr>
            </w:pPr>
            <w:r>
              <w:rPr>
                <w:color w:val="auto"/>
                <w:kern w:val="0"/>
              </w:rPr>
              <w:t>2.3.2</w:t>
            </w:r>
          </w:p>
        </w:tc>
        <w:tc>
          <w:tcPr>
            <w:tcW w:w="2835" w:type="dxa"/>
            <w:vMerge w:val="restart"/>
            <w:vAlign w:val="center"/>
          </w:tcPr>
          <w:p>
            <w:pPr>
              <w:autoSpaceDE w:val="0"/>
              <w:autoSpaceDN w:val="0"/>
              <w:snapToGrid w:val="0"/>
              <w:jc w:val="center"/>
              <w:rPr>
                <w:rFonts w:cs="Times New Roman"/>
                <w:color w:val="auto"/>
                <w:kern w:val="0"/>
              </w:rPr>
            </w:pPr>
            <w:r>
              <w:rPr>
                <w:rFonts w:hint="eastAsia" w:cs="宋体"/>
                <w:color w:val="auto"/>
                <w:kern w:val="0"/>
              </w:rPr>
              <w:t>投标人确认收到招标文件修改</w:t>
            </w:r>
          </w:p>
        </w:tc>
        <w:tc>
          <w:tcPr>
            <w:tcW w:w="5844" w:type="dxa"/>
            <w:vAlign w:val="center"/>
          </w:tcPr>
          <w:p>
            <w:pPr>
              <w:autoSpaceDE w:val="0"/>
              <w:autoSpaceDN w:val="0"/>
              <w:snapToGrid w:val="0"/>
              <w:spacing w:line="400" w:lineRule="atLeast"/>
              <w:rPr>
                <w:rFonts w:cs="Times New Roman"/>
                <w:color w:val="auto"/>
              </w:rPr>
            </w:pPr>
            <w:r>
              <w:rPr>
                <w:rFonts w:hint="eastAsia" w:cs="宋体"/>
                <w:color w:val="auto"/>
                <w:kern w:val="0"/>
              </w:rPr>
              <w:t>时间：收到修改后</w:t>
            </w:r>
            <w:r>
              <w:rPr>
                <w:color w:val="auto"/>
                <w:kern w:val="0"/>
                <w:u w:val="single"/>
              </w:rPr>
              <w:t xml:space="preserve"> 24 </w:t>
            </w:r>
            <w:r>
              <w:rPr>
                <w:rFonts w:hint="eastAsia" w:cs="宋体"/>
                <w:color w:val="auto"/>
                <w:kern w:val="0"/>
              </w:rPr>
              <w:t>小时内（以发出时间为准）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2" w:hRule="atLeast"/>
          <w:jc w:val="center"/>
        </w:trPr>
        <w:tc>
          <w:tcPr>
            <w:tcW w:w="921" w:type="dxa"/>
            <w:vMerge w:val="continue"/>
            <w:vAlign w:val="center"/>
          </w:tcPr>
          <w:p>
            <w:pPr>
              <w:autoSpaceDE w:val="0"/>
              <w:autoSpaceDN w:val="0"/>
              <w:snapToGrid w:val="0"/>
              <w:spacing w:line="400" w:lineRule="atLeast"/>
              <w:jc w:val="center"/>
              <w:rPr>
                <w:rFonts w:cs="Times New Roman"/>
                <w:color w:val="auto"/>
                <w:kern w:val="0"/>
              </w:rPr>
            </w:pPr>
          </w:p>
        </w:tc>
        <w:tc>
          <w:tcPr>
            <w:tcW w:w="2835" w:type="dxa"/>
            <w:vMerge w:val="continue"/>
            <w:vAlign w:val="center"/>
          </w:tcPr>
          <w:p>
            <w:pPr>
              <w:autoSpaceDE w:val="0"/>
              <w:autoSpaceDN w:val="0"/>
              <w:snapToGrid w:val="0"/>
              <w:jc w:val="center"/>
              <w:rPr>
                <w:rFonts w:cs="Times New Roman"/>
                <w:color w:val="auto"/>
                <w:kern w:val="0"/>
              </w:rPr>
            </w:pPr>
          </w:p>
        </w:tc>
        <w:tc>
          <w:tcPr>
            <w:tcW w:w="5844" w:type="dxa"/>
            <w:vAlign w:val="center"/>
          </w:tcPr>
          <w:p>
            <w:pPr>
              <w:autoSpaceDE w:val="0"/>
              <w:autoSpaceDN w:val="0"/>
              <w:snapToGrid w:val="0"/>
              <w:spacing w:line="400" w:lineRule="atLeast"/>
              <w:rPr>
                <w:rFonts w:cs="Times New Roman"/>
                <w:color w:val="auto"/>
                <w:kern w:val="0"/>
              </w:rPr>
            </w:pPr>
            <w:r>
              <w:rPr>
                <w:rFonts w:hint="eastAsia" w:cs="宋体"/>
                <w:color w:val="auto"/>
                <w:kern w:val="0"/>
              </w:rPr>
              <w:t>形式：传真或扫描件电子文件传至招标代理电子邮箱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2" w:hRule="atLeast"/>
          <w:jc w:val="center"/>
        </w:trPr>
        <w:tc>
          <w:tcPr>
            <w:tcW w:w="921" w:type="dxa"/>
            <w:vAlign w:val="center"/>
          </w:tcPr>
          <w:p>
            <w:pPr>
              <w:pStyle w:val="50"/>
              <w:spacing w:line="400" w:lineRule="atLeast"/>
              <w:jc w:val="center"/>
              <w:rPr>
                <w:rFonts w:cs="Times New Roman"/>
                <w:b/>
                <w:bCs/>
                <w:color w:val="auto"/>
                <w:sz w:val="21"/>
                <w:szCs w:val="21"/>
              </w:rPr>
            </w:pPr>
            <w:r>
              <w:rPr>
                <w:color w:val="auto"/>
                <w:sz w:val="21"/>
                <w:szCs w:val="21"/>
              </w:rPr>
              <w:t>3.1.1</w:t>
            </w:r>
          </w:p>
        </w:tc>
        <w:tc>
          <w:tcPr>
            <w:tcW w:w="2835" w:type="dxa"/>
            <w:vAlign w:val="center"/>
          </w:tcPr>
          <w:p>
            <w:pPr>
              <w:autoSpaceDE w:val="0"/>
              <w:autoSpaceDN w:val="0"/>
              <w:snapToGrid w:val="0"/>
              <w:jc w:val="center"/>
              <w:rPr>
                <w:rFonts w:cs="Times New Roman"/>
                <w:b/>
                <w:bCs/>
                <w:color w:val="auto"/>
              </w:rPr>
            </w:pPr>
            <w:r>
              <w:rPr>
                <w:rFonts w:hint="eastAsia" w:cs="宋体"/>
                <w:color w:val="auto"/>
                <w:kern w:val="0"/>
              </w:rPr>
              <w:t>构成投标文件的其他资料</w:t>
            </w:r>
          </w:p>
        </w:tc>
        <w:tc>
          <w:tcPr>
            <w:tcW w:w="5844" w:type="dxa"/>
            <w:vAlign w:val="center"/>
          </w:tcPr>
          <w:p>
            <w:pPr>
              <w:pStyle w:val="50"/>
              <w:spacing w:line="400" w:lineRule="atLeast"/>
              <w:jc w:val="both"/>
              <w:rPr>
                <w:rFonts w:cs="Times New Roman"/>
                <w:b/>
                <w:bCs/>
                <w:color w:val="auto"/>
                <w:sz w:val="21"/>
                <w:szCs w:val="21"/>
              </w:rPr>
            </w:pPr>
            <w:r>
              <w:rPr>
                <w:rFonts w:hint="eastAsia" w:cs="宋体"/>
                <w:color w:val="auto"/>
                <w:sz w:val="21"/>
                <w:szCs w:val="21"/>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2" w:hRule="atLeast"/>
          <w:jc w:val="center"/>
        </w:trPr>
        <w:tc>
          <w:tcPr>
            <w:tcW w:w="921" w:type="dxa"/>
            <w:tcBorders>
              <w:bottom w:val="single" w:color="auto" w:sz="12" w:space="0"/>
            </w:tcBorders>
            <w:vAlign w:val="center"/>
          </w:tcPr>
          <w:p>
            <w:pPr>
              <w:autoSpaceDE w:val="0"/>
              <w:autoSpaceDN w:val="0"/>
              <w:snapToGrid w:val="0"/>
              <w:spacing w:line="400" w:lineRule="atLeast"/>
              <w:jc w:val="center"/>
              <w:rPr>
                <w:rFonts w:cs="Times New Roman"/>
                <w:color w:val="auto"/>
              </w:rPr>
            </w:pPr>
            <w:r>
              <w:rPr>
                <w:color w:val="auto"/>
                <w:kern w:val="0"/>
              </w:rPr>
              <w:t>3.2.1</w:t>
            </w:r>
          </w:p>
        </w:tc>
        <w:tc>
          <w:tcPr>
            <w:tcW w:w="2835" w:type="dxa"/>
            <w:tcBorders>
              <w:bottom w:val="single" w:color="auto" w:sz="12" w:space="0"/>
            </w:tcBorders>
            <w:vAlign w:val="center"/>
          </w:tcPr>
          <w:p>
            <w:pPr>
              <w:autoSpaceDE w:val="0"/>
              <w:autoSpaceDN w:val="0"/>
              <w:snapToGrid w:val="0"/>
              <w:jc w:val="center"/>
              <w:rPr>
                <w:rFonts w:cs="Times New Roman"/>
                <w:color w:val="auto"/>
              </w:rPr>
            </w:pPr>
            <w:r>
              <w:rPr>
                <w:rFonts w:hint="eastAsia" w:cs="宋体"/>
                <w:color w:val="auto"/>
                <w:kern w:val="0"/>
              </w:rPr>
              <w:t>增值税税金的计算方法</w:t>
            </w:r>
          </w:p>
        </w:tc>
        <w:tc>
          <w:tcPr>
            <w:tcW w:w="5844" w:type="dxa"/>
            <w:tcBorders>
              <w:bottom w:val="single" w:color="auto" w:sz="12" w:space="0"/>
            </w:tcBorders>
            <w:vAlign w:val="center"/>
          </w:tcPr>
          <w:p>
            <w:pPr>
              <w:pStyle w:val="50"/>
              <w:ind w:left="420" w:hanging="420" w:hangingChars="200"/>
              <w:jc w:val="both"/>
              <w:rPr>
                <w:rFonts w:cs="Times New Roman"/>
                <w:color w:val="auto"/>
                <w:sz w:val="21"/>
                <w:szCs w:val="21"/>
              </w:rPr>
            </w:pPr>
            <w:r>
              <w:rPr>
                <w:rFonts w:hint="eastAsia" w:cs="宋体"/>
                <w:color w:val="auto"/>
                <w:sz w:val="21"/>
                <w:szCs w:val="21"/>
              </w:rPr>
              <w:t>按一般计税方法计算</w:t>
            </w:r>
          </w:p>
        </w:tc>
      </w:tr>
    </w:tbl>
    <w:p>
      <w:pPr>
        <w:autoSpaceDE w:val="0"/>
        <w:autoSpaceDN w:val="0"/>
        <w:adjustRightInd w:val="0"/>
        <w:jc w:val="right"/>
        <w:rPr>
          <w:rFonts w:cs="Times New Roman"/>
          <w:color w:val="auto"/>
          <w:kern w:val="0"/>
        </w:rPr>
      </w:pPr>
      <w:r>
        <w:rPr>
          <w:rFonts w:cs="Times New Roman"/>
          <w:color w:val="auto"/>
          <w:kern w:val="0"/>
        </w:rPr>
        <w:br w:type="page"/>
      </w:r>
      <w:r>
        <w:rPr>
          <w:rFonts w:hint="eastAsia" w:cs="宋体"/>
          <w:color w:val="auto"/>
          <w:kern w:val="0"/>
        </w:rPr>
        <w:t>续上表</w:t>
      </w:r>
    </w:p>
    <w:tbl>
      <w:tblPr>
        <w:tblStyle w:val="20"/>
        <w:tblW w:w="983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39"/>
        <w:gridCol w:w="9"/>
        <w:gridCol w:w="2826"/>
        <w:gridCol w:w="596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1048" w:type="dxa"/>
            <w:gridSpan w:val="2"/>
            <w:tcBorders>
              <w:top w:val="single" w:color="auto" w:sz="12" w:space="0"/>
            </w:tcBorders>
            <w:vAlign w:val="center"/>
          </w:tcPr>
          <w:p>
            <w:pPr>
              <w:autoSpaceDE w:val="0"/>
              <w:autoSpaceDN w:val="0"/>
              <w:adjustRightInd w:val="0"/>
              <w:snapToGrid w:val="0"/>
              <w:ind w:left="-92" w:leftChars="-44" w:right="-107" w:rightChars="-51"/>
              <w:jc w:val="center"/>
              <w:rPr>
                <w:rFonts w:cs="Times New Roman"/>
                <w:b/>
                <w:bCs/>
                <w:color w:val="auto"/>
                <w:kern w:val="0"/>
              </w:rPr>
            </w:pPr>
            <w:r>
              <w:rPr>
                <w:rFonts w:hint="eastAsia" w:cs="宋体"/>
                <w:b/>
                <w:bCs/>
                <w:color w:val="auto"/>
                <w:kern w:val="0"/>
              </w:rPr>
              <w:t>条款号</w:t>
            </w:r>
          </w:p>
        </w:tc>
        <w:tc>
          <w:tcPr>
            <w:tcW w:w="2826" w:type="dxa"/>
            <w:tcBorders>
              <w:top w:val="single" w:color="auto" w:sz="12" w:space="0"/>
            </w:tcBorders>
            <w:vAlign w:val="center"/>
          </w:tcPr>
          <w:p>
            <w:pPr>
              <w:autoSpaceDE w:val="0"/>
              <w:autoSpaceDN w:val="0"/>
              <w:adjustRightInd w:val="0"/>
              <w:snapToGrid w:val="0"/>
              <w:jc w:val="center"/>
              <w:rPr>
                <w:rFonts w:cs="Times New Roman"/>
                <w:b/>
                <w:bCs/>
                <w:color w:val="auto"/>
                <w:kern w:val="0"/>
              </w:rPr>
            </w:pPr>
            <w:r>
              <w:rPr>
                <w:rFonts w:hint="eastAsia" w:cs="宋体"/>
                <w:b/>
                <w:bCs/>
                <w:color w:val="auto"/>
                <w:kern w:val="0"/>
              </w:rPr>
              <w:t>条款名称</w:t>
            </w:r>
          </w:p>
        </w:tc>
        <w:tc>
          <w:tcPr>
            <w:tcW w:w="5962" w:type="dxa"/>
            <w:tcBorders>
              <w:top w:val="single" w:color="auto" w:sz="12" w:space="0"/>
            </w:tcBorders>
            <w:vAlign w:val="center"/>
          </w:tcPr>
          <w:p>
            <w:pPr>
              <w:autoSpaceDE w:val="0"/>
              <w:autoSpaceDN w:val="0"/>
              <w:adjustRightInd w:val="0"/>
              <w:snapToGrid w:val="0"/>
              <w:jc w:val="center"/>
              <w:rPr>
                <w:rFonts w:cs="Times New Roman"/>
                <w:b/>
                <w:bCs/>
                <w:color w:val="auto"/>
                <w:kern w:val="0"/>
              </w:rPr>
            </w:pPr>
            <w:r>
              <w:rPr>
                <w:rFonts w:hint="eastAsia" w:cs="宋体"/>
                <w:b/>
                <w:bCs/>
                <w:color w:val="auto"/>
                <w:kern w:val="0"/>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1039" w:type="dxa"/>
            <w:vAlign w:val="center"/>
          </w:tcPr>
          <w:p>
            <w:pPr>
              <w:autoSpaceDE w:val="0"/>
              <w:autoSpaceDN w:val="0"/>
              <w:snapToGrid w:val="0"/>
              <w:spacing w:line="400" w:lineRule="atLeast"/>
              <w:jc w:val="center"/>
              <w:rPr>
                <w:rFonts w:cs="Times New Roman"/>
                <w:color w:val="auto"/>
              </w:rPr>
            </w:pPr>
            <w:r>
              <w:rPr>
                <w:color w:val="auto"/>
                <w:kern w:val="0"/>
              </w:rPr>
              <w:t>3.2.3</w:t>
            </w:r>
          </w:p>
        </w:tc>
        <w:tc>
          <w:tcPr>
            <w:tcW w:w="2835" w:type="dxa"/>
            <w:gridSpan w:val="2"/>
            <w:vAlign w:val="center"/>
          </w:tcPr>
          <w:p>
            <w:pPr>
              <w:autoSpaceDE w:val="0"/>
              <w:autoSpaceDN w:val="0"/>
              <w:snapToGrid w:val="0"/>
              <w:jc w:val="center"/>
              <w:rPr>
                <w:rFonts w:cs="Times New Roman"/>
                <w:color w:val="auto"/>
              </w:rPr>
            </w:pPr>
            <w:r>
              <w:rPr>
                <w:rFonts w:hint="eastAsia" w:cs="宋体"/>
                <w:color w:val="auto"/>
                <w:kern w:val="0"/>
              </w:rPr>
              <w:t>报价方式</w:t>
            </w:r>
          </w:p>
        </w:tc>
        <w:tc>
          <w:tcPr>
            <w:tcW w:w="5962" w:type="dxa"/>
            <w:vAlign w:val="center"/>
          </w:tcPr>
          <w:p>
            <w:pPr>
              <w:autoSpaceDE w:val="0"/>
              <w:autoSpaceDN w:val="0"/>
              <w:snapToGrid w:val="0"/>
              <w:spacing w:line="400" w:lineRule="atLeast"/>
              <w:rPr>
                <w:rFonts w:cs="Times New Roman"/>
                <w:color w:val="auto"/>
              </w:rPr>
            </w:pPr>
            <w:r>
              <w:rPr>
                <w:rFonts w:cs="Times New Roman"/>
                <w:color w:val="auto"/>
                <w:kern w:val="0"/>
                <w:szCs w:val="20"/>
              </w:rPr>
              <w:sym w:font="Wingdings" w:char="F0FE"/>
            </w:r>
            <w:r>
              <w:rPr>
                <w:rFonts w:hint="eastAsia" w:cs="宋体"/>
                <w:color w:val="auto"/>
                <w:kern w:val="0"/>
              </w:rPr>
              <w:t>总价</w:t>
            </w:r>
          </w:p>
          <w:p>
            <w:pPr>
              <w:autoSpaceDE w:val="0"/>
              <w:autoSpaceDN w:val="0"/>
              <w:snapToGrid w:val="0"/>
              <w:spacing w:line="400" w:lineRule="atLeast"/>
              <w:rPr>
                <w:rFonts w:cs="Times New Roman"/>
                <w:color w:val="auto"/>
              </w:rPr>
            </w:pPr>
            <w:r>
              <w:rPr>
                <w:color w:val="auto"/>
                <w:kern w:val="0"/>
              </w:rPr>
              <w:t>□</w:t>
            </w:r>
            <w:r>
              <w:rPr>
                <w:rFonts w:hint="eastAsia" w:cs="宋体"/>
                <w:color w:val="auto"/>
                <w:kern w:val="0"/>
              </w:rPr>
              <w:t>单价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1" w:hRule="atLeast"/>
          <w:jc w:val="center"/>
        </w:trPr>
        <w:tc>
          <w:tcPr>
            <w:tcW w:w="1039" w:type="dxa"/>
            <w:vAlign w:val="center"/>
          </w:tcPr>
          <w:p>
            <w:pPr>
              <w:autoSpaceDE w:val="0"/>
              <w:autoSpaceDN w:val="0"/>
              <w:snapToGrid w:val="0"/>
              <w:spacing w:line="400" w:lineRule="atLeast"/>
              <w:jc w:val="center"/>
              <w:rPr>
                <w:color w:val="auto"/>
                <w:kern w:val="0"/>
              </w:rPr>
            </w:pPr>
            <w:r>
              <w:rPr>
                <w:color w:val="auto"/>
                <w:kern w:val="0"/>
              </w:rPr>
              <w:t>3.2.4</w:t>
            </w:r>
          </w:p>
        </w:tc>
        <w:tc>
          <w:tcPr>
            <w:tcW w:w="2835" w:type="dxa"/>
            <w:gridSpan w:val="2"/>
            <w:vAlign w:val="center"/>
          </w:tcPr>
          <w:p>
            <w:pPr>
              <w:autoSpaceDE w:val="0"/>
              <w:autoSpaceDN w:val="0"/>
              <w:snapToGrid w:val="0"/>
              <w:jc w:val="center"/>
              <w:rPr>
                <w:rFonts w:cs="Times New Roman"/>
                <w:color w:val="auto"/>
                <w:kern w:val="0"/>
              </w:rPr>
            </w:pPr>
            <w:r>
              <w:rPr>
                <w:rFonts w:hint="eastAsia" w:cs="宋体"/>
                <w:color w:val="auto"/>
                <w:kern w:val="0"/>
              </w:rPr>
              <w:t>最高投标限价</w:t>
            </w:r>
          </w:p>
        </w:tc>
        <w:tc>
          <w:tcPr>
            <w:tcW w:w="5962" w:type="dxa"/>
            <w:vAlign w:val="center"/>
          </w:tcPr>
          <w:p>
            <w:pPr>
              <w:autoSpaceDE w:val="0"/>
              <w:autoSpaceDN w:val="0"/>
              <w:snapToGrid w:val="0"/>
              <w:spacing w:line="400" w:lineRule="atLeast"/>
              <w:rPr>
                <w:rFonts w:cs="Times New Roman"/>
                <w:color w:val="auto"/>
              </w:rPr>
            </w:pPr>
            <w:r>
              <w:rPr>
                <w:color w:val="auto"/>
                <w:kern w:val="0"/>
              </w:rPr>
              <w:t>□</w:t>
            </w:r>
            <w:r>
              <w:rPr>
                <w:rFonts w:hint="eastAsia" w:cs="宋体"/>
                <w:color w:val="auto"/>
                <w:kern w:val="0"/>
              </w:rPr>
              <w:t>无</w:t>
            </w:r>
          </w:p>
          <w:p>
            <w:pPr>
              <w:autoSpaceDE w:val="0"/>
              <w:autoSpaceDN w:val="0"/>
              <w:snapToGrid w:val="0"/>
              <w:spacing w:line="400" w:lineRule="atLeast"/>
              <w:rPr>
                <w:rFonts w:cs="Times New Roman"/>
                <w:color w:val="auto"/>
              </w:rPr>
            </w:pPr>
            <w:r>
              <w:rPr>
                <w:rFonts w:cs="Times New Roman"/>
                <w:color w:val="auto"/>
                <w:kern w:val="0"/>
                <w:szCs w:val="20"/>
              </w:rPr>
              <w:sym w:font="Wingdings" w:char="F0FE"/>
            </w:r>
            <w:r>
              <w:rPr>
                <w:rFonts w:hint="eastAsia" w:cs="宋体"/>
                <w:color w:val="auto"/>
                <w:kern w:val="0"/>
              </w:rPr>
              <w:t>有，最高投标限价为</w:t>
            </w:r>
            <w:r>
              <w:rPr>
                <w:rFonts w:hint="eastAsia" w:cs="宋体"/>
                <w:color w:val="auto"/>
                <w:kern w:val="0"/>
                <w:lang w:val="en-US" w:eastAsia="zh-CN"/>
              </w:rPr>
              <w:t>179.42683</w:t>
            </w:r>
            <w:r>
              <w:rPr>
                <w:rFonts w:hint="eastAsia" w:cs="宋体"/>
                <w:color w:val="auto"/>
                <w:kern w:val="0"/>
              </w:rPr>
              <w:t>万元</w:t>
            </w:r>
            <w:r>
              <w:rPr>
                <w:rFonts w:hint="eastAsia" w:ascii="宋体" w:hAnsi="Times New Roman" w:cs="宋体"/>
                <w:color w:val="auto"/>
              </w:rPr>
              <w:t>（其中含暂列金</w:t>
            </w:r>
            <w:r>
              <w:rPr>
                <w:rFonts w:ascii="宋体" w:hAnsi="Times New Roman" w:cs="宋体"/>
                <w:color w:val="auto"/>
                <w:u w:val="single"/>
              </w:rPr>
              <w:t xml:space="preserve">/ </w:t>
            </w:r>
            <w:r>
              <w:rPr>
                <w:rFonts w:hint="eastAsia" w:ascii="宋体" w:hAnsi="Times New Roman" w:cs="宋体"/>
                <w:color w:val="auto"/>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1039" w:type="dxa"/>
            <w:vAlign w:val="center"/>
          </w:tcPr>
          <w:p>
            <w:pPr>
              <w:autoSpaceDE w:val="0"/>
              <w:autoSpaceDN w:val="0"/>
              <w:snapToGrid w:val="0"/>
              <w:spacing w:line="400" w:lineRule="atLeast"/>
              <w:jc w:val="center"/>
              <w:rPr>
                <w:color w:val="auto"/>
                <w:kern w:val="0"/>
              </w:rPr>
            </w:pPr>
            <w:r>
              <w:rPr>
                <w:color w:val="auto"/>
                <w:kern w:val="0"/>
              </w:rPr>
              <w:t>3.2.5</w:t>
            </w:r>
          </w:p>
        </w:tc>
        <w:tc>
          <w:tcPr>
            <w:tcW w:w="2835" w:type="dxa"/>
            <w:gridSpan w:val="2"/>
            <w:vAlign w:val="center"/>
          </w:tcPr>
          <w:p>
            <w:pPr>
              <w:autoSpaceDE w:val="0"/>
              <w:autoSpaceDN w:val="0"/>
              <w:snapToGrid w:val="0"/>
              <w:jc w:val="center"/>
              <w:rPr>
                <w:rFonts w:cs="Times New Roman"/>
                <w:color w:val="auto"/>
                <w:kern w:val="0"/>
              </w:rPr>
            </w:pPr>
            <w:r>
              <w:rPr>
                <w:rFonts w:hint="eastAsia" w:cs="宋体"/>
                <w:color w:val="auto"/>
                <w:kern w:val="0"/>
              </w:rPr>
              <w:t>投标报价的其他要求</w:t>
            </w:r>
          </w:p>
        </w:tc>
        <w:tc>
          <w:tcPr>
            <w:tcW w:w="5962" w:type="dxa"/>
            <w:vAlign w:val="center"/>
          </w:tcPr>
          <w:p>
            <w:pPr>
              <w:autoSpaceDE w:val="0"/>
              <w:autoSpaceDN w:val="0"/>
              <w:snapToGrid w:val="0"/>
              <w:spacing w:line="400" w:lineRule="atLeast"/>
              <w:rPr>
                <w:rFonts w:cs="Times New Roman"/>
                <w:color w:val="auto"/>
              </w:rPr>
            </w:pPr>
            <w:r>
              <w:rPr>
                <w:rFonts w:hint="eastAsia" w:cs="宋体"/>
                <w:color w:val="auto"/>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039" w:type="dxa"/>
            <w:vAlign w:val="center"/>
          </w:tcPr>
          <w:p>
            <w:pPr>
              <w:autoSpaceDE w:val="0"/>
              <w:autoSpaceDN w:val="0"/>
              <w:snapToGrid w:val="0"/>
              <w:spacing w:line="420" w:lineRule="exact"/>
              <w:jc w:val="center"/>
              <w:rPr>
                <w:color w:val="auto"/>
                <w:kern w:val="0"/>
              </w:rPr>
            </w:pPr>
            <w:r>
              <w:rPr>
                <w:color w:val="auto"/>
                <w:kern w:val="0"/>
              </w:rPr>
              <w:t>3.3.1</w:t>
            </w:r>
          </w:p>
        </w:tc>
        <w:tc>
          <w:tcPr>
            <w:tcW w:w="2835" w:type="dxa"/>
            <w:gridSpan w:val="2"/>
            <w:vAlign w:val="center"/>
          </w:tcPr>
          <w:p>
            <w:pPr>
              <w:autoSpaceDE w:val="0"/>
              <w:autoSpaceDN w:val="0"/>
              <w:snapToGrid w:val="0"/>
              <w:spacing w:line="420" w:lineRule="exact"/>
              <w:jc w:val="center"/>
              <w:rPr>
                <w:rFonts w:cs="Times New Roman"/>
                <w:color w:val="auto"/>
                <w:kern w:val="0"/>
              </w:rPr>
            </w:pPr>
            <w:r>
              <w:rPr>
                <w:rFonts w:hint="eastAsia" w:cs="宋体"/>
                <w:color w:val="auto"/>
                <w:kern w:val="0"/>
              </w:rPr>
              <w:t>投标有效期</w:t>
            </w:r>
          </w:p>
        </w:tc>
        <w:tc>
          <w:tcPr>
            <w:tcW w:w="5962" w:type="dxa"/>
            <w:vAlign w:val="center"/>
          </w:tcPr>
          <w:p>
            <w:pPr>
              <w:autoSpaceDE w:val="0"/>
              <w:autoSpaceDN w:val="0"/>
              <w:snapToGrid w:val="0"/>
              <w:spacing w:line="420" w:lineRule="exact"/>
              <w:rPr>
                <w:rFonts w:cs="Times New Roman"/>
                <w:color w:val="auto"/>
              </w:rPr>
            </w:pPr>
            <w:r>
              <w:rPr>
                <w:rFonts w:hint="eastAsia" w:cs="宋体"/>
                <w:color w:val="auto"/>
                <w:kern w:val="0"/>
              </w:rPr>
              <w:t>自投标人提交投标文件截止之日起计算</w:t>
            </w:r>
            <w:r>
              <w:rPr>
                <w:color w:val="auto"/>
                <w:kern w:val="0"/>
                <w:u w:val="single"/>
              </w:rPr>
              <w:t xml:space="preserve">  90  </w:t>
            </w:r>
            <w:r>
              <w:rPr>
                <w:rFonts w:hint="eastAsia" w:cs="宋体"/>
                <w:color w:val="auto"/>
                <w:kern w:val="0"/>
              </w:rPr>
              <w:t>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21" w:hRule="atLeast"/>
          <w:jc w:val="center"/>
        </w:trPr>
        <w:tc>
          <w:tcPr>
            <w:tcW w:w="1039" w:type="dxa"/>
            <w:vAlign w:val="center"/>
          </w:tcPr>
          <w:p>
            <w:pPr>
              <w:autoSpaceDE w:val="0"/>
              <w:autoSpaceDN w:val="0"/>
              <w:snapToGrid w:val="0"/>
              <w:spacing w:line="420" w:lineRule="exact"/>
              <w:jc w:val="center"/>
              <w:rPr>
                <w:color w:val="auto"/>
                <w:kern w:val="0"/>
              </w:rPr>
            </w:pPr>
            <w:r>
              <w:rPr>
                <w:color w:val="auto"/>
                <w:kern w:val="0"/>
              </w:rPr>
              <w:t>3.4.1</w:t>
            </w:r>
          </w:p>
        </w:tc>
        <w:tc>
          <w:tcPr>
            <w:tcW w:w="2835" w:type="dxa"/>
            <w:gridSpan w:val="2"/>
            <w:vAlign w:val="center"/>
          </w:tcPr>
          <w:p>
            <w:pPr>
              <w:autoSpaceDE w:val="0"/>
              <w:autoSpaceDN w:val="0"/>
              <w:snapToGrid w:val="0"/>
              <w:spacing w:line="420" w:lineRule="exact"/>
              <w:jc w:val="center"/>
              <w:rPr>
                <w:rFonts w:cs="Times New Roman"/>
                <w:color w:val="auto"/>
                <w:kern w:val="0"/>
              </w:rPr>
            </w:pPr>
            <w:r>
              <w:rPr>
                <w:rFonts w:hint="eastAsia" w:cs="宋体"/>
                <w:color w:val="auto"/>
                <w:kern w:val="0"/>
              </w:rPr>
              <w:t>投标保证金</w:t>
            </w:r>
          </w:p>
        </w:tc>
        <w:tc>
          <w:tcPr>
            <w:tcW w:w="5962" w:type="dxa"/>
            <w:vAlign w:val="center"/>
          </w:tcPr>
          <w:p>
            <w:pPr>
              <w:autoSpaceDE w:val="0"/>
              <w:autoSpaceDN w:val="0"/>
              <w:snapToGrid w:val="0"/>
              <w:spacing w:line="420" w:lineRule="exact"/>
              <w:rPr>
                <w:rFonts w:hAnsi="Times New Roman" w:cs="Times New Roman"/>
                <w:color w:val="auto"/>
                <w:kern w:val="0"/>
              </w:rPr>
            </w:pPr>
            <w:r>
              <w:rPr>
                <w:rFonts w:hint="eastAsia" w:hAnsi="Times New Roman" w:cs="宋体"/>
                <w:color w:val="auto"/>
                <w:kern w:val="0"/>
              </w:rPr>
              <w:t>是否要求投标人递交投标保证金：</w:t>
            </w:r>
          </w:p>
          <w:p>
            <w:pPr>
              <w:autoSpaceDE w:val="0"/>
              <w:autoSpaceDN w:val="0"/>
              <w:snapToGrid w:val="0"/>
              <w:spacing w:line="420" w:lineRule="exact"/>
              <w:rPr>
                <w:rFonts w:hAnsi="Times New Roman"/>
                <w:color w:val="auto"/>
                <w:kern w:val="0"/>
                <w:u w:val="single"/>
              </w:rPr>
            </w:pPr>
            <w:r>
              <w:rPr>
                <w:rFonts w:cs="Times New Roman"/>
                <w:color w:val="auto"/>
                <w:kern w:val="0"/>
                <w:szCs w:val="20"/>
              </w:rPr>
              <w:sym w:font="Wingdings" w:char="F0FE"/>
            </w:r>
            <w:r>
              <w:rPr>
                <w:rFonts w:hint="eastAsia" w:ascii="Times New Roman" w:hAnsi="Times New Roman" w:cs="宋体"/>
                <w:color w:val="auto"/>
                <w:kern w:val="0"/>
              </w:rPr>
              <w:t>要求，</w:t>
            </w:r>
            <w:r>
              <w:rPr>
                <w:rFonts w:hint="eastAsia" w:hAnsi="Times New Roman" w:cs="宋体"/>
                <w:color w:val="auto"/>
                <w:kern w:val="0"/>
              </w:rPr>
              <w:t>投标保证金的金额：</w:t>
            </w:r>
            <w:r>
              <w:rPr>
                <w:rFonts w:hint="eastAsia" w:hAnsi="Times New Roman" w:cs="宋体"/>
                <w:color w:val="auto"/>
                <w:kern w:val="0"/>
                <w:lang w:eastAsia="zh-CN"/>
              </w:rPr>
              <w:t>贰</w:t>
            </w:r>
            <w:bookmarkStart w:id="69" w:name="_GoBack"/>
            <w:bookmarkEnd w:id="69"/>
            <w:r>
              <w:rPr>
                <w:rFonts w:hint="eastAsia" w:hAnsi="Times New Roman" w:cs="宋体"/>
                <w:color w:val="auto"/>
                <w:kern w:val="0"/>
              </w:rPr>
              <w:t>万元整</w:t>
            </w:r>
          </w:p>
          <w:p>
            <w:pPr>
              <w:autoSpaceDE w:val="0"/>
              <w:autoSpaceDN w:val="0"/>
              <w:snapToGrid w:val="0"/>
              <w:spacing w:line="420" w:lineRule="exact"/>
              <w:rPr>
                <w:rFonts w:hAnsi="Times New Roman" w:cs="Times New Roman"/>
                <w:color w:val="auto"/>
                <w:kern w:val="0"/>
              </w:rPr>
            </w:pPr>
            <w:r>
              <w:rPr>
                <w:rFonts w:hint="eastAsia" w:hAnsi="Times New Roman" w:cs="宋体"/>
                <w:color w:val="auto"/>
                <w:kern w:val="0"/>
              </w:rPr>
              <w:t>投标保证金可采用的其他形式：</w:t>
            </w:r>
            <w:r>
              <w:rPr>
                <w:rFonts w:hint="eastAsia" w:hAnsi="Times New Roman" w:cs="宋体"/>
                <w:color w:val="auto"/>
                <w:kern w:val="0"/>
                <w:u w:val="single"/>
              </w:rPr>
              <w:t>银行电汇或银行保函</w:t>
            </w:r>
          </w:p>
          <w:p>
            <w:pPr>
              <w:autoSpaceDE w:val="0"/>
              <w:autoSpaceDN w:val="0"/>
              <w:snapToGrid w:val="0"/>
              <w:spacing w:line="420" w:lineRule="exact"/>
              <w:rPr>
                <w:rFonts w:hAnsi="Times New Roman" w:cs="Times New Roman"/>
                <w:color w:val="auto"/>
                <w:kern w:val="0"/>
              </w:rPr>
            </w:pPr>
            <w:r>
              <w:rPr>
                <w:rFonts w:hint="eastAsia" w:hAnsi="Times New Roman" w:cs="宋体"/>
                <w:color w:val="auto"/>
                <w:kern w:val="0"/>
              </w:rPr>
              <w:t>招标人指定开户银行及账号如下：</w:t>
            </w:r>
          </w:p>
          <w:p>
            <w:pPr>
              <w:jc w:val="left"/>
              <w:rPr>
                <w:rFonts w:hAnsi="Times New Roman" w:cs="宋体"/>
                <w:color w:val="auto"/>
                <w:kern w:val="0"/>
              </w:rPr>
            </w:pPr>
            <w:r>
              <w:rPr>
                <w:rFonts w:hint="eastAsia" w:hAnsi="Times New Roman" w:cs="宋体"/>
                <w:color w:val="auto"/>
                <w:kern w:val="0"/>
              </w:rPr>
              <w:t>账户名称：天津市滨海新区城投建设发展有限公司</w:t>
            </w:r>
          </w:p>
          <w:p>
            <w:pPr>
              <w:jc w:val="left"/>
              <w:rPr>
                <w:rFonts w:hAnsi="Times New Roman" w:cs="宋体"/>
                <w:color w:val="auto"/>
                <w:kern w:val="0"/>
              </w:rPr>
            </w:pPr>
            <w:r>
              <w:rPr>
                <w:rFonts w:hint="eastAsia" w:hAnsi="Times New Roman" w:cs="宋体"/>
                <w:color w:val="auto"/>
                <w:kern w:val="0"/>
              </w:rPr>
              <w:t>开户银行：建设银行天津塘沽和平路支行</w:t>
            </w:r>
          </w:p>
          <w:p>
            <w:pPr>
              <w:jc w:val="left"/>
              <w:rPr>
                <w:rFonts w:hAnsi="Times New Roman" w:cs="宋体"/>
                <w:color w:val="auto"/>
                <w:kern w:val="0"/>
              </w:rPr>
            </w:pPr>
            <w:r>
              <w:rPr>
                <w:rFonts w:hint="eastAsia" w:hAnsi="Times New Roman" w:cs="宋体"/>
                <w:color w:val="auto"/>
                <w:kern w:val="0"/>
              </w:rPr>
              <w:t>账号：12001675001050004709</w:t>
            </w:r>
          </w:p>
          <w:p>
            <w:pPr>
              <w:autoSpaceDE w:val="0"/>
              <w:autoSpaceDN w:val="0"/>
              <w:snapToGrid w:val="0"/>
              <w:spacing w:line="420" w:lineRule="exact"/>
              <w:rPr>
                <w:rFonts w:hAnsi="Times New Roman" w:cs="宋体"/>
                <w:color w:val="auto"/>
                <w:kern w:val="0"/>
              </w:rPr>
            </w:pPr>
            <w:r>
              <w:rPr>
                <w:rFonts w:hint="eastAsia" w:hAnsi="Times New Roman" w:cs="宋体"/>
                <w:color w:val="auto"/>
                <w:kern w:val="0"/>
              </w:rPr>
              <w:t>采用银行电汇的，递交投标保证金截止时间为：2022年5月</w:t>
            </w:r>
            <w:r>
              <w:rPr>
                <w:rFonts w:hint="eastAsia" w:hAnsi="Times New Roman" w:cs="宋体"/>
                <w:color w:val="auto"/>
                <w:kern w:val="0"/>
                <w:lang w:val="en-US" w:eastAsia="zh-CN"/>
              </w:rPr>
              <w:t>19</w:t>
            </w:r>
            <w:r>
              <w:rPr>
                <w:rFonts w:hint="eastAsia" w:hAnsi="Times New Roman" w:cs="宋体"/>
                <w:color w:val="auto"/>
                <w:kern w:val="0"/>
              </w:rPr>
              <w:t>日17：00之前</w:t>
            </w:r>
          </w:p>
          <w:p>
            <w:pPr>
              <w:autoSpaceDE w:val="0"/>
              <w:autoSpaceDN w:val="0"/>
              <w:snapToGrid w:val="0"/>
              <w:spacing w:line="420" w:lineRule="exact"/>
              <w:rPr>
                <w:rFonts w:hAnsi="Times New Roman" w:cs="Times New Roman"/>
                <w:color w:val="auto"/>
                <w:kern w:val="0"/>
              </w:rPr>
            </w:pPr>
            <w:r>
              <w:rPr>
                <w:rFonts w:hint="eastAsia" w:hAnsi="Times New Roman" w:cs="宋体"/>
                <w:color w:val="auto"/>
                <w:kern w:val="0"/>
              </w:rPr>
              <w:t>采用银行保函时，出具保函的银行级别：</w:t>
            </w:r>
            <w:r>
              <w:rPr>
                <w:rFonts w:hint="eastAsia" w:hAnsi="Times New Roman" w:cs="宋体"/>
                <w:color w:val="auto"/>
                <w:kern w:val="0"/>
                <w:u w:val="single"/>
              </w:rPr>
              <w:t>支行及以上</w:t>
            </w:r>
          </w:p>
          <w:p>
            <w:pPr>
              <w:autoSpaceDE w:val="0"/>
              <w:autoSpaceDN w:val="0"/>
              <w:snapToGrid w:val="0"/>
              <w:spacing w:line="420" w:lineRule="exact"/>
              <w:jc w:val="left"/>
              <w:rPr>
                <w:rFonts w:cs="Times New Roman"/>
                <w:color w:val="auto"/>
                <w:kern w:val="0"/>
              </w:rPr>
            </w:pPr>
            <w:r>
              <w:rPr>
                <w:rFonts w:hint="eastAsia" w:ascii="Times New Roman" w:hAnsi="Times New Roman" w:cs="宋体"/>
                <w:color w:val="auto"/>
                <w:kern w:val="0"/>
              </w:rPr>
              <w:t>□不要求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90" w:hRule="atLeast"/>
          <w:jc w:val="center"/>
        </w:trPr>
        <w:tc>
          <w:tcPr>
            <w:tcW w:w="1039" w:type="dxa"/>
            <w:vAlign w:val="center"/>
          </w:tcPr>
          <w:p>
            <w:pPr>
              <w:autoSpaceDE w:val="0"/>
              <w:autoSpaceDN w:val="0"/>
              <w:snapToGrid w:val="0"/>
              <w:spacing w:line="420" w:lineRule="exact"/>
              <w:jc w:val="center"/>
              <w:rPr>
                <w:color w:val="auto"/>
                <w:kern w:val="0"/>
              </w:rPr>
            </w:pPr>
            <w:r>
              <w:rPr>
                <w:color w:val="auto"/>
                <w:kern w:val="0"/>
              </w:rPr>
              <w:t>3.4.3</w:t>
            </w:r>
          </w:p>
        </w:tc>
        <w:tc>
          <w:tcPr>
            <w:tcW w:w="2835" w:type="dxa"/>
            <w:gridSpan w:val="2"/>
            <w:vAlign w:val="center"/>
          </w:tcPr>
          <w:p>
            <w:pPr>
              <w:autoSpaceDE w:val="0"/>
              <w:autoSpaceDN w:val="0"/>
              <w:snapToGrid w:val="0"/>
              <w:spacing w:line="420" w:lineRule="exact"/>
              <w:jc w:val="center"/>
              <w:rPr>
                <w:rFonts w:cs="Times New Roman"/>
                <w:color w:val="auto"/>
              </w:rPr>
            </w:pPr>
            <w:r>
              <w:rPr>
                <w:rFonts w:hint="eastAsia" w:cs="宋体"/>
                <w:color w:val="auto"/>
                <w:kern w:val="0"/>
              </w:rPr>
              <w:t>投标保证金的利息</w:t>
            </w:r>
          </w:p>
          <w:p>
            <w:pPr>
              <w:autoSpaceDE w:val="0"/>
              <w:autoSpaceDN w:val="0"/>
              <w:snapToGrid w:val="0"/>
              <w:spacing w:line="420" w:lineRule="exact"/>
              <w:jc w:val="center"/>
              <w:rPr>
                <w:rFonts w:cs="Times New Roman"/>
                <w:color w:val="auto"/>
                <w:kern w:val="0"/>
              </w:rPr>
            </w:pPr>
            <w:r>
              <w:rPr>
                <w:rFonts w:hint="eastAsia" w:cs="宋体"/>
                <w:color w:val="auto"/>
                <w:kern w:val="0"/>
              </w:rPr>
              <w:t>计算原则</w:t>
            </w:r>
          </w:p>
        </w:tc>
        <w:tc>
          <w:tcPr>
            <w:tcW w:w="5962" w:type="dxa"/>
            <w:vAlign w:val="center"/>
          </w:tcPr>
          <w:p>
            <w:pPr>
              <w:autoSpaceDE w:val="0"/>
              <w:autoSpaceDN w:val="0"/>
              <w:snapToGrid w:val="0"/>
              <w:spacing w:line="360" w:lineRule="auto"/>
              <w:rPr>
                <w:rFonts w:cs="Times New Roman"/>
                <w:color w:val="auto"/>
              </w:rPr>
            </w:pPr>
            <w:r>
              <w:rPr>
                <w:color w:val="auto"/>
                <w:kern w:val="0"/>
              </w:rPr>
              <w:t>1</w:t>
            </w:r>
            <w:r>
              <w:rPr>
                <w:rFonts w:hint="eastAsia" w:cs="宋体"/>
                <w:color w:val="auto"/>
                <w:kern w:val="0"/>
              </w:rPr>
              <w:t>、计算利息的起始日期为投标截止当日，终止日期为招标人退还投标保证金日期的前一日；</w:t>
            </w:r>
          </w:p>
          <w:p>
            <w:pPr>
              <w:autoSpaceDE w:val="0"/>
              <w:autoSpaceDN w:val="0"/>
              <w:snapToGrid w:val="0"/>
              <w:spacing w:line="360" w:lineRule="auto"/>
              <w:rPr>
                <w:rFonts w:cs="Times New Roman"/>
                <w:color w:val="auto"/>
              </w:rPr>
            </w:pPr>
            <w:r>
              <w:rPr>
                <w:color w:val="auto"/>
                <w:kern w:val="0"/>
              </w:rPr>
              <w:t>2</w:t>
            </w:r>
            <w:r>
              <w:rPr>
                <w:rFonts w:hint="eastAsia" w:cs="宋体"/>
                <w:color w:val="auto"/>
                <w:kern w:val="0"/>
              </w:rPr>
              <w:t>、投标保证金的利息按照（</w:t>
            </w:r>
            <w:r>
              <w:rPr>
                <w:color w:val="auto"/>
                <w:kern w:val="0"/>
              </w:rPr>
              <w:t>1</w:t>
            </w:r>
            <w:r>
              <w:rPr>
                <w:rFonts w:hint="eastAsia" w:cs="宋体"/>
                <w:color w:val="auto"/>
                <w:kern w:val="0"/>
              </w:rPr>
              <w:t>）款所述计息时间段内招标人指定汇入银行公告的活期存款利率计付，并扣除招标人汇款手续费；</w:t>
            </w:r>
          </w:p>
          <w:p>
            <w:pPr>
              <w:autoSpaceDE w:val="0"/>
              <w:autoSpaceDN w:val="0"/>
              <w:snapToGrid w:val="0"/>
              <w:spacing w:line="360" w:lineRule="auto"/>
              <w:rPr>
                <w:rFonts w:cs="Times New Roman"/>
                <w:color w:val="auto"/>
                <w:kern w:val="0"/>
              </w:rPr>
            </w:pPr>
            <w:r>
              <w:rPr>
                <w:color w:val="auto"/>
                <w:kern w:val="0"/>
              </w:rPr>
              <w:t>3</w:t>
            </w:r>
            <w:r>
              <w:rPr>
                <w:rFonts w:hint="eastAsia" w:cs="宋体"/>
                <w:color w:val="auto"/>
                <w:kern w:val="0"/>
              </w:rPr>
              <w:t>、利息金额计算至分位，分以下尾数四舍五入。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2" w:hRule="atLeast"/>
          <w:jc w:val="center"/>
        </w:trPr>
        <w:tc>
          <w:tcPr>
            <w:tcW w:w="1039" w:type="dxa"/>
            <w:vAlign w:val="center"/>
          </w:tcPr>
          <w:p>
            <w:pPr>
              <w:autoSpaceDE w:val="0"/>
              <w:autoSpaceDN w:val="0"/>
              <w:snapToGrid w:val="0"/>
              <w:spacing w:line="420" w:lineRule="exact"/>
              <w:jc w:val="center"/>
              <w:rPr>
                <w:color w:val="auto"/>
                <w:kern w:val="0"/>
              </w:rPr>
            </w:pPr>
            <w:r>
              <w:rPr>
                <w:color w:val="auto"/>
                <w:kern w:val="0"/>
              </w:rPr>
              <w:t>3.4.4</w:t>
            </w:r>
          </w:p>
        </w:tc>
        <w:tc>
          <w:tcPr>
            <w:tcW w:w="2835" w:type="dxa"/>
            <w:gridSpan w:val="2"/>
            <w:vAlign w:val="center"/>
          </w:tcPr>
          <w:p>
            <w:pPr>
              <w:autoSpaceDE w:val="0"/>
              <w:autoSpaceDN w:val="0"/>
              <w:snapToGrid w:val="0"/>
              <w:spacing w:line="420" w:lineRule="exact"/>
              <w:jc w:val="center"/>
              <w:rPr>
                <w:rFonts w:cs="Times New Roman"/>
                <w:color w:val="auto"/>
              </w:rPr>
            </w:pPr>
            <w:r>
              <w:rPr>
                <w:rFonts w:hint="eastAsia" w:cs="宋体"/>
                <w:color w:val="auto"/>
                <w:kern w:val="0"/>
              </w:rPr>
              <w:t>其他可以不予退还投标保证</w:t>
            </w:r>
          </w:p>
          <w:p>
            <w:pPr>
              <w:autoSpaceDE w:val="0"/>
              <w:autoSpaceDN w:val="0"/>
              <w:snapToGrid w:val="0"/>
              <w:spacing w:line="420" w:lineRule="exact"/>
              <w:jc w:val="center"/>
              <w:rPr>
                <w:rFonts w:cs="Times New Roman"/>
                <w:color w:val="auto"/>
                <w:kern w:val="0"/>
              </w:rPr>
            </w:pPr>
            <w:r>
              <w:rPr>
                <w:rFonts w:hint="eastAsia" w:cs="宋体"/>
                <w:color w:val="auto"/>
                <w:kern w:val="0"/>
              </w:rPr>
              <w:t>金的情形</w:t>
            </w:r>
          </w:p>
        </w:tc>
        <w:tc>
          <w:tcPr>
            <w:tcW w:w="5962" w:type="dxa"/>
            <w:vAlign w:val="center"/>
          </w:tcPr>
          <w:p>
            <w:pPr>
              <w:autoSpaceDE w:val="0"/>
              <w:autoSpaceDN w:val="0"/>
              <w:snapToGrid w:val="0"/>
              <w:spacing w:line="420" w:lineRule="exact"/>
              <w:rPr>
                <w:rFonts w:cs="Times New Roman"/>
                <w:color w:val="auto"/>
                <w:kern w:val="0"/>
              </w:rPr>
            </w:pPr>
            <w:r>
              <w:rPr>
                <w:color w:val="auto"/>
                <w:kern w:val="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2" w:hRule="atLeast"/>
          <w:jc w:val="center"/>
        </w:trPr>
        <w:tc>
          <w:tcPr>
            <w:tcW w:w="1039" w:type="dxa"/>
            <w:vAlign w:val="center"/>
          </w:tcPr>
          <w:p>
            <w:pPr>
              <w:autoSpaceDE w:val="0"/>
              <w:autoSpaceDN w:val="0"/>
              <w:snapToGrid w:val="0"/>
              <w:spacing w:line="420" w:lineRule="exact"/>
              <w:jc w:val="center"/>
              <w:rPr>
                <w:color w:val="auto"/>
                <w:kern w:val="0"/>
              </w:rPr>
            </w:pPr>
            <w:r>
              <w:rPr>
                <w:color w:val="auto"/>
                <w:kern w:val="0"/>
              </w:rPr>
              <w:t>3.5</w:t>
            </w:r>
          </w:p>
        </w:tc>
        <w:tc>
          <w:tcPr>
            <w:tcW w:w="2835" w:type="dxa"/>
            <w:gridSpan w:val="2"/>
            <w:vAlign w:val="center"/>
          </w:tcPr>
          <w:p>
            <w:pPr>
              <w:autoSpaceDE w:val="0"/>
              <w:autoSpaceDN w:val="0"/>
              <w:snapToGrid w:val="0"/>
              <w:spacing w:line="420" w:lineRule="exact"/>
              <w:jc w:val="center"/>
              <w:rPr>
                <w:rFonts w:cs="Times New Roman"/>
                <w:color w:val="auto"/>
                <w:kern w:val="0"/>
              </w:rPr>
            </w:pPr>
            <w:r>
              <w:rPr>
                <w:rFonts w:hint="eastAsia" w:cs="宋体"/>
                <w:color w:val="auto"/>
                <w:kern w:val="0"/>
              </w:rPr>
              <w:t>资格审查资料的特殊要求</w:t>
            </w:r>
          </w:p>
        </w:tc>
        <w:tc>
          <w:tcPr>
            <w:tcW w:w="5962" w:type="dxa"/>
            <w:vAlign w:val="center"/>
          </w:tcPr>
          <w:p>
            <w:pPr>
              <w:autoSpaceDE w:val="0"/>
              <w:autoSpaceDN w:val="0"/>
              <w:snapToGrid w:val="0"/>
              <w:spacing w:line="420" w:lineRule="exact"/>
              <w:rPr>
                <w:rFonts w:cs="Times New Roman"/>
                <w:color w:val="auto"/>
              </w:rPr>
            </w:pPr>
            <w:r>
              <w:rPr>
                <w:rFonts w:cs="Times New Roman"/>
                <w:color w:val="auto"/>
                <w:kern w:val="0"/>
                <w:szCs w:val="20"/>
              </w:rPr>
              <w:sym w:font="Wingdings" w:char="F0FE"/>
            </w:r>
            <w:r>
              <w:rPr>
                <w:rFonts w:hint="eastAsia" w:cs="宋体"/>
                <w:color w:val="auto"/>
                <w:kern w:val="0"/>
              </w:rPr>
              <w:t>无</w:t>
            </w:r>
          </w:p>
          <w:p>
            <w:pPr>
              <w:autoSpaceDE w:val="0"/>
              <w:autoSpaceDN w:val="0"/>
              <w:snapToGrid w:val="0"/>
              <w:spacing w:line="420" w:lineRule="exact"/>
              <w:rPr>
                <w:rFonts w:cs="Times New Roman"/>
                <w:color w:val="auto"/>
              </w:rPr>
            </w:pPr>
            <w:r>
              <w:rPr>
                <w:color w:val="auto"/>
                <w:kern w:val="0"/>
              </w:rPr>
              <w:t>□</w:t>
            </w:r>
            <w:r>
              <w:rPr>
                <w:rFonts w:hint="eastAsia" w:cs="宋体"/>
                <w:color w:val="auto"/>
                <w:kern w:val="0"/>
              </w:rPr>
              <w:t>有，具体要求：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2" w:hRule="atLeast"/>
          <w:jc w:val="center"/>
        </w:trPr>
        <w:tc>
          <w:tcPr>
            <w:tcW w:w="1039" w:type="dxa"/>
            <w:tcBorders>
              <w:bottom w:val="single" w:color="auto" w:sz="12" w:space="0"/>
            </w:tcBorders>
            <w:vAlign w:val="center"/>
          </w:tcPr>
          <w:p>
            <w:pPr>
              <w:autoSpaceDE w:val="0"/>
              <w:autoSpaceDN w:val="0"/>
              <w:snapToGrid w:val="0"/>
              <w:spacing w:line="420" w:lineRule="exact"/>
              <w:jc w:val="center"/>
              <w:rPr>
                <w:rFonts w:cs="Times New Roman"/>
                <w:b/>
                <w:bCs/>
                <w:color w:val="auto"/>
              </w:rPr>
            </w:pPr>
            <w:r>
              <w:rPr>
                <w:color w:val="auto"/>
                <w:kern w:val="0"/>
              </w:rPr>
              <w:t>3.5.2</w:t>
            </w:r>
          </w:p>
        </w:tc>
        <w:tc>
          <w:tcPr>
            <w:tcW w:w="2835" w:type="dxa"/>
            <w:gridSpan w:val="2"/>
            <w:tcBorders>
              <w:bottom w:val="single" w:color="auto" w:sz="12" w:space="0"/>
            </w:tcBorders>
            <w:vAlign w:val="center"/>
          </w:tcPr>
          <w:p>
            <w:pPr>
              <w:autoSpaceDE w:val="0"/>
              <w:autoSpaceDN w:val="0"/>
              <w:snapToGrid w:val="0"/>
              <w:spacing w:line="420" w:lineRule="exact"/>
              <w:jc w:val="center"/>
              <w:rPr>
                <w:rFonts w:cs="Times New Roman"/>
                <w:color w:val="auto"/>
              </w:rPr>
            </w:pPr>
            <w:r>
              <w:rPr>
                <w:rFonts w:hint="eastAsia" w:cs="宋体"/>
                <w:color w:val="auto"/>
                <w:kern w:val="0"/>
              </w:rPr>
              <w:t>近年完成的类似项目情况的</w:t>
            </w:r>
          </w:p>
          <w:p>
            <w:pPr>
              <w:autoSpaceDE w:val="0"/>
              <w:autoSpaceDN w:val="0"/>
              <w:snapToGrid w:val="0"/>
              <w:spacing w:line="420" w:lineRule="exact"/>
              <w:jc w:val="center"/>
              <w:rPr>
                <w:rFonts w:cs="Times New Roman"/>
                <w:b/>
                <w:bCs/>
                <w:color w:val="auto"/>
              </w:rPr>
            </w:pPr>
            <w:r>
              <w:rPr>
                <w:rFonts w:hint="eastAsia" w:cs="宋体"/>
                <w:color w:val="auto"/>
                <w:kern w:val="0"/>
              </w:rPr>
              <w:t>时间要求</w:t>
            </w:r>
          </w:p>
        </w:tc>
        <w:tc>
          <w:tcPr>
            <w:tcW w:w="5962" w:type="dxa"/>
            <w:tcBorders>
              <w:bottom w:val="single" w:color="auto" w:sz="12" w:space="0"/>
            </w:tcBorders>
            <w:vAlign w:val="center"/>
          </w:tcPr>
          <w:p>
            <w:pPr>
              <w:autoSpaceDE w:val="0"/>
              <w:autoSpaceDN w:val="0"/>
              <w:snapToGrid w:val="0"/>
              <w:spacing w:line="420" w:lineRule="exact"/>
              <w:rPr>
                <w:rFonts w:cs="Times New Roman"/>
                <w:b/>
                <w:bCs/>
                <w:color w:val="auto"/>
              </w:rPr>
            </w:pPr>
            <w:r>
              <w:rPr>
                <w:rFonts w:hint="eastAsia"/>
                <w:color w:val="auto"/>
                <w:kern w:val="0"/>
                <w:u w:val="single"/>
              </w:rPr>
              <w:t>2017</w:t>
            </w:r>
            <w:r>
              <w:rPr>
                <w:rFonts w:hint="eastAsia" w:cs="宋体"/>
                <w:color w:val="auto"/>
                <w:kern w:val="0"/>
              </w:rPr>
              <w:t>年</w:t>
            </w:r>
            <w:r>
              <w:rPr>
                <w:rFonts w:hint="eastAsia"/>
                <w:color w:val="auto"/>
                <w:kern w:val="0"/>
                <w:u w:val="single"/>
              </w:rPr>
              <w:t>1</w:t>
            </w:r>
            <w:r>
              <w:rPr>
                <w:rFonts w:hint="eastAsia" w:cs="宋体"/>
                <w:color w:val="auto"/>
                <w:kern w:val="0"/>
              </w:rPr>
              <w:t>月</w:t>
            </w:r>
            <w:r>
              <w:rPr>
                <w:color w:val="auto"/>
                <w:kern w:val="0"/>
                <w:u w:val="single"/>
              </w:rPr>
              <w:t xml:space="preserve"> 1 </w:t>
            </w:r>
            <w:r>
              <w:rPr>
                <w:rFonts w:hint="eastAsia" w:cs="宋体"/>
                <w:color w:val="auto"/>
                <w:kern w:val="0"/>
              </w:rPr>
              <w:t>日至投标截止之日</w:t>
            </w:r>
          </w:p>
        </w:tc>
      </w:tr>
    </w:tbl>
    <w:p>
      <w:pPr>
        <w:autoSpaceDE w:val="0"/>
        <w:autoSpaceDN w:val="0"/>
        <w:adjustRightInd w:val="0"/>
        <w:jc w:val="right"/>
        <w:rPr>
          <w:rFonts w:cs="Times New Roman"/>
          <w:color w:val="auto"/>
          <w:kern w:val="0"/>
        </w:rPr>
      </w:pPr>
    </w:p>
    <w:p>
      <w:pPr>
        <w:autoSpaceDE w:val="0"/>
        <w:autoSpaceDN w:val="0"/>
        <w:adjustRightInd w:val="0"/>
        <w:jc w:val="right"/>
        <w:rPr>
          <w:rFonts w:cs="Times New Roman"/>
          <w:color w:val="auto"/>
          <w:kern w:val="0"/>
        </w:rPr>
      </w:pPr>
      <w:r>
        <w:rPr>
          <w:rFonts w:cs="Times New Roman"/>
          <w:color w:val="auto"/>
          <w:kern w:val="0"/>
        </w:rPr>
        <w:br w:type="page"/>
      </w:r>
      <w:r>
        <w:rPr>
          <w:rFonts w:hint="eastAsia" w:cs="宋体"/>
          <w:color w:val="auto"/>
          <w:kern w:val="0"/>
        </w:rPr>
        <w:t>续上表</w:t>
      </w:r>
    </w:p>
    <w:tbl>
      <w:tblPr>
        <w:tblStyle w:val="20"/>
        <w:tblW w:w="983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39"/>
        <w:gridCol w:w="2835"/>
        <w:gridCol w:w="5953"/>
        <w:gridCol w:w="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4" w:hRule="atLeast"/>
          <w:jc w:val="center"/>
        </w:trPr>
        <w:tc>
          <w:tcPr>
            <w:tcW w:w="1039" w:type="dxa"/>
            <w:tcBorders>
              <w:top w:val="single" w:color="auto" w:sz="12" w:space="0"/>
            </w:tcBorders>
            <w:vAlign w:val="center"/>
          </w:tcPr>
          <w:p>
            <w:pPr>
              <w:autoSpaceDE w:val="0"/>
              <w:autoSpaceDN w:val="0"/>
              <w:adjustRightInd w:val="0"/>
              <w:snapToGrid w:val="0"/>
              <w:ind w:left="-92" w:leftChars="-44" w:right="-107" w:rightChars="-51"/>
              <w:jc w:val="center"/>
              <w:rPr>
                <w:rFonts w:cs="Times New Roman"/>
                <w:b/>
                <w:bCs/>
                <w:color w:val="auto"/>
                <w:kern w:val="0"/>
              </w:rPr>
            </w:pPr>
            <w:r>
              <w:rPr>
                <w:rFonts w:hint="eastAsia" w:cs="宋体"/>
                <w:b/>
                <w:bCs/>
                <w:color w:val="auto"/>
                <w:kern w:val="0"/>
              </w:rPr>
              <w:t>条款号</w:t>
            </w:r>
          </w:p>
        </w:tc>
        <w:tc>
          <w:tcPr>
            <w:tcW w:w="2835" w:type="dxa"/>
            <w:tcBorders>
              <w:top w:val="single" w:color="auto" w:sz="12" w:space="0"/>
            </w:tcBorders>
            <w:vAlign w:val="center"/>
          </w:tcPr>
          <w:p>
            <w:pPr>
              <w:autoSpaceDE w:val="0"/>
              <w:autoSpaceDN w:val="0"/>
              <w:adjustRightInd w:val="0"/>
              <w:snapToGrid w:val="0"/>
              <w:jc w:val="center"/>
              <w:rPr>
                <w:rFonts w:cs="Times New Roman"/>
                <w:b/>
                <w:bCs/>
                <w:color w:val="auto"/>
                <w:kern w:val="0"/>
              </w:rPr>
            </w:pPr>
            <w:r>
              <w:rPr>
                <w:rFonts w:hint="eastAsia" w:cs="宋体"/>
                <w:b/>
                <w:bCs/>
                <w:color w:val="auto"/>
                <w:kern w:val="0"/>
              </w:rPr>
              <w:t>条款名称</w:t>
            </w:r>
          </w:p>
        </w:tc>
        <w:tc>
          <w:tcPr>
            <w:tcW w:w="5962" w:type="dxa"/>
            <w:gridSpan w:val="2"/>
            <w:tcBorders>
              <w:top w:val="single" w:color="auto" w:sz="12" w:space="0"/>
            </w:tcBorders>
            <w:vAlign w:val="center"/>
          </w:tcPr>
          <w:p>
            <w:pPr>
              <w:autoSpaceDE w:val="0"/>
              <w:autoSpaceDN w:val="0"/>
              <w:adjustRightInd w:val="0"/>
              <w:snapToGrid w:val="0"/>
              <w:jc w:val="center"/>
              <w:rPr>
                <w:rFonts w:cs="Times New Roman"/>
                <w:b/>
                <w:bCs/>
                <w:color w:val="auto"/>
                <w:kern w:val="0"/>
              </w:rPr>
            </w:pPr>
            <w:r>
              <w:rPr>
                <w:rFonts w:hint="eastAsia" w:cs="宋体"/>
                <w:b/>
                <w:bCs/>
                <w:color w:val="auto"/>
                <w:kern w:val="0"/>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9" w:type="dxa"/>
          <w:trHeight w:val="837" w:hRule="atLeast"/>
          <w:jc w:val="center"/>
        </w:trPr>
        <w:tc>
          <w:tcPr>
            <w:tcW w:w="1039" w:type="dxa"/>
            <w:vAlign w:val="center"/>
          </w:tcPr>
          <w:p>
            <w:pPr>
              <w:autoSpaceDE w:val="0"/>
              <w:autoSpaceDN w:val="0"/>
              <w:snapToGrid w:val="0"/>
              <w:spacing w:line="420" w:lineRule="exact"/>
              <w:jc w:val="center"/>
              <w:rPr>
                <w:rFonts w:cs="Times New Roman"/>
                <w:color w:val="auto"/>
              </w:rPr>
            </w:pPr>
            <w:r>
              <w:rPr>
                <w:color w:val="auto"/>
                <w:kern w:val="0"/>
              </w:rPr>
              <w:t>3.6.1</w:t>
            </w:r>
          </w:p>
        </w:tc>
        <w:tc>
          <w:tcPr>
            <w:tcW w:w="2835" w:type="dxa"/>
            <w:vAlign w:val="center"/>
          </w:tcPr>
          <w:p>
            <w:pPr>
              <w:autoSpaceDE w:val="0"/>
              <w:autoSpaceDN w:val="0"/>
              <w:snapToGrid w:val="0"/>
              <w:spacing w:line="420" w:lineRule="exact"/>
              <w:jc w:val="center"/>
              <w:rPr>
                <w:rFonts w:cs="Times New Roman"/>
                <w:color w:val="auto"/>
              </w:rPr>
            </w:pPr>
            <w:r>
              <w:rPr>
                <w:rFonts w:hint="eastAsia" w:cs="宋体"/>
                <w:color w:val="auto"/>
                <w:kern w:val="0"/>
              </w:rPr>
              <w:t>是否允许递交备选投标方案</w:t>
            </w:r>
          </w:p>
        </w:tc>
        <w:tc>
          <w:tcPr>
            <w:tcW w:w="5953" w:type="dxa"/>
            <w:vAlign w:val="center"/>
          </w:tcPr>
          <w:p>
            <w:pPr>
              <w:autoSpaceDE w:val="0"/>
              <w:autoSpaceDN w:val="0"/>
              <w:snapToGrid w:val="0"/>
              <w:spacing w:line="420" w:lineRule="exact"/>
              <w:rPr>
                <w:rFonts w:cs="Times New Roman"/>
                <w:color w:val="auto"/>
              </w:rPr>
            </w:pPr>
            <w:r>
              <w:rPr>
                <w:rFonts w:cs="Times New Roman"/>
                <w:color w:val="auto"/>
                <w:kern w:val="0"/>
                <w:szCs w:val="20"/>
              </w:rPr>
              <w:sym w:font="Wingdings" w:char="F0FE"/>
            </w:r>
            <w:r>
              <w:rPr>
                <w:rFonts w:hint="eastAsia" w:cs="宋体"/>
                <w:color w:val="auto"/>
                <w:kern w:val="0"/>
              </w:rPr>
              <w:t>不允许</w:t>
            </w:r>
          </w:p>
          <w:p>
            <w:pPr>
              <w:autoSpaceDE w:val="0"/>
              <w:autoSpaceDN w:val="0"/>
              <w:snapToGrid w:val="0"/>
              <w:spacing w:line="420" w:lineRule="exact"/>
              <w:rPr>
                <w:rFonts w:cs="Times New Roman"/>
                <w:color w:val="auto"/>
              </w:rPr>
            </w:pPr>
            <w:r>
              <w:rPr>
                <w:color w:val="auto"/>
                <w:kern w:val="0"/>
              </w:rPr>
              <w:t>□</w:t>
            </w:r>
            <w:r>
              <w:rPr>
                <w:rFonts w:hint="eastAsia" w:cs="宋体"/>
                <w:color w:val="auto"/>
                <w:kern w:val="0"/>
              </w:rPr>
              <w:t>允许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9" w:type="dxa"/>
          <w:trHeight w:val="1263" w:hRule="atLeast"/>
          <w:jc w:val="center"/>
        </w:trPr>
        <w:tc>
          <w:tcPr>
            <w:tcW w:w="1039" w:type="dxa"/>
            <w:vAlign w:val="center"/>
          </w:tcPr>
          <w:p>
            <w:pPr>
              <w:autoSpaceDE w:val="0"/>
              <w:autoSpaceDN w:val="0"/>
              <w:snapToGrid w:val="0"/>
              <w:spacing w:line="420" w:lineRule="exact"/>
              <w:jc w:val="center"/>
              <w:rPr>
                <w:rFonts w:cs="Times New Roman"/>
                <w:color w:val="auto"/>
              </w:rPr>
            </w:pPr>
            <w:r>
              <w:rPr>
                <w:color w:val="auto"/>
                <w:kern w:val="0"/>
              </w:rPr>
              <w:t>3.7.4</w:t>
            </w:r>
          </w:p>
        </w:tc>
        <w:tc>
          <w:tcPr>
            <w:tcW w:w="2835" w:type="dxa"/>
            <w:vAlign w:val="center"/>
          </w:tcPr>
          <w:p>
            <w:pPr>
              <w:autoSpaceDE w:val="0"/>
              <w:autoSpaceDN w:val="0"/>
              <w:snapToGrid w:val="0"/>
              <w:spacing w:line="420" w:lineRule="exact"/>
              <w:jc w:val="center"/>
              <w:rPr>
                <w:rFonts w:cs="Times New Roman"/>
                <w:color w:val="auto"/>
              </w:rPr>
            </w:pPr>
            <w:r>
              <w:rPr>
                <w:rFonts w:hint="eastAsia" w:cs="宋体"/>
                <w:color w:val="auto"/>
                <w:kern w:val="0"/>
              </w:rPr>
              <w:t>投标文件副本份数及其他要求</w:t>
            </w:r>
          </w:p>
        </w:tc>
        <w:tc>
          <w:tcPr>
            <w:tcW w:w="5953" w:type="dxa"/>
            <w:vAlign w:val="center"/>
          </w:tcPr>
          <w:p>
            <w:pPr>
              <w:autoSpaceDE w:val="0"/>
              <w:autoSpaceDN w:val="0"/>
              <w:snapToGrid w:val="0"/>
              <w:spacing w:line="420" w:lineRule="exact"/>
              <w:rPr>
                <w:rFonts w:cs="Times New Roman"/>
                <w:color w:val="auto"/>
                <w:kern w:val="0"/>
              </w:rPr>
            </w:pPr>
            <w:r>
              <w:rPr>
                <w:rFonts w:hint="eastAsia" w:cs="宋体"/>
                <w:color w:val="auto"/>
                <w:kern w:val="0"/>
              </w:rPr>
              <w:t>投标文件副本份数：四份</w:t>
            </w:r>
          </w:p>
          <w:p>
            <w:pPr>
              <w:autoSpaceDE w:val="0"/>
              <w:autoSpaceDN w:val="0"/>
              <w:snapToGrid w:val="0"/>
              <w:spacing w:line="420" w:lineRule="exact"/>
              <w:rPr>
                <w:rFonts w:cs="Times New Roman"/>
                <w:color w:val="auto"/>
                <w:kern w:val="0"/>
              </w:rPr>
            </w:pPr>
            <w:r>
              <w:rPr>
                <w:rFonts w:hint="eastAsia" w:cs="宋体"/>
                <w:color w:val="auto"/>
                <w:kern w:val="0"/>
              </w:rPr>
              <w:t>是否要求提交电子版文件：提交电子文件一份（光盘或</w:t>
            </w:r>
            <w:r>
              <w:rPr>
                <w:color w:val="auto"/>
                <w:kern w:val="0"/>
              </w:rPr>
              <w:t>U</w:t>
            </w:r>
            <w:r>
              <w:rPr>
                <w:rFonts w:hint="eastAsia" w:cs="宋体"/>
                <w:color w:val="auto"/>
                <w:kern w:val="0"/>
              </w:rPr>
              <w:t>盘）</w:t>
            </w:r>
          </w:p>
          <w:p>
            <w:pPr>
              <w:autoSpaceDE w:val="0"/>
              <w:autoSpaceDN w:val="0"/>
              <w:snapToGrid w:val="0"/>
              <w:spacing w:line="420" w:lineRule="exact"/>
              <w:rPr>
                <w:rFonts w:cs="Times New Roman"/>
                <w:color w:val="auto"/>
              </w:rPr>
            </w:pPr>
            <w:r>
              <w:rPr>
                <w:rFonts w:hint="eastAsia" w:cs="宋体"/>
                <w:color w:val="auto"/>
                <w:kern w:val="0"/>
              </w:rPr>
              <w:t>其他要求：提交的</w:t>
            </w:r>
            <w:r>
              <w:rPr>
                <w:color w:val="auto"/>
                <w:kern w:val="0"/>
              </w:rPr>
              <w:t>PDF</w:t>
            </w:r>
            <w:r>
              <w:rPr>
                <w:rFonts w:hint="eastAsia" w:cs="宋体"/>
                <w:color w:val="auto"/>
                <w:kern w:val="0"/>
              </w:rPr>
              <w:t>格式的电子投标文件，应与正本纸质投标文件一致。光盘或</w:t>
            </w:r>
            <w:r>
              <w:rPr>
                <w:color w:val="auto"/>
                <w:kern w:val="0"/>
              </w:rPr>
              <w:t>U</w:t>
            </w:r>
            <w:r>
              <w:rPr>
                <w:rFonts w:hint="eastAsia" w:cs="宋体"/>
                <w:color w:val="auto"/>
                <w:kern w:val="0"/>
              </w:rPr>
              <w:t>盘需标明投标单位全称及项目名称。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9" w:type="dxa"/>
          <w:trHeight w:val="412" w:hRule="atLeast"/>
          <w:jc w:val="center"/>
        </w:trPr>
        <w:tc>
          <w:tcPr>
            <w:tcW w:w="1039" w:type="dxa"/>
            <w:vAlign w:val="center"/>
          </w:tcPr>
          <w:p>
            <w:pPr>
              <w:autoSpaceDE w:val="0"/>
              <w:autoSpaceDN w:val="0"/>
              <w:snapToGrid w:val="0"/>
              <w:spacing w:line="420" w:lineRule="exact"/>
              <w:jc w:val="center"/>
              <w:rPr>
                <w:rFonts w:cs="Times New Roman"/>
                <w:color w:val="auto"/>
              </w:rPr>
            </w:pPr>
            <w:r>
              <w:rPr>
                <w:color w:val="auto"/>
                <w:kern w:val="0"/>
              </w:rPr>
              <w:t>3.7.5</w:t>
            </w:r>
          </w:p>
        </w:tc>
        <w:tc>
          <w:tcPr>
            <w:tcW w:w="2835" w:type="dxa"/>
            <w:vAlign w:val="center"/>
          </w:tcPr>
          <w:p>
            <w:pPr>
              <w:autoSpaceDE w:val="0"/>
              <w:autoSpaceDN w:val="0"/>
              <w:snapToGrid w:val="0"/>
              <w:spacing w:line="420" w:lineRule="exact"/>
              <w:jc w:val="center"/>
              <w:rPr>
                <w:rFonts w:cs="Times New Roman"/>
                <w:color w:val="auto"/>
              </w:rPr>
            </w:pPr>
            <w:r>
              <w:rPr>
                <w:rFonts w:hint="eastAsia" w:cs="宋体"/>
                <w:color w:val="auto"/>
                <w:kern w:val="0"/>
              </w:rPr>
              <w:t>装订的其他要求</w:t>
            </w:r>
          </w:p>
        </w:tc>
        <w:tc>
          <w:tcPr>
            <w:tcW w:w="5953" w:type="dxa"/>
            <w:vAlign w:val="center"/>
          </w:tcPr>
          <w:p>
            <w:pPr>
              <w:autoSpaceDE w:val="0"/>
              <w:autoSpaceDN w:val="0"/>
              <w:snapToGrid w:val="0"/>
              <w:spacing w:line="420" w:lineRule="exact"/>
              <w:rPr>
                <w:rFonts w:cs="Times New Roman"/>
                <w:color w:val="auto"/>
              </w:rPr>
            </w:pPr>
            <w:r>
              <w:rPr>
                <w:rFonts w:hint="eastAsia" w:cs="宋体"/>
                <w:color w:val="auto"/>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9" w:type="dxa"/>
          <w:trHeight w:val="3944" w:hRule="atLeast"/>
          <w:jc w:val="center"/>
        </w:trPr>
        <w:tc>
          <w:tcPr>
            <w:tcW w:w="1039" w:type="dxa"/>
            <w:vAlign w:val="center"/>
          </w:tcPr>
          <w:p>
            <w:pPr>
              <w:autoSpaceDE w:val="0"/>
              <w:autoSpaceDN w:val="0"/>
              <w:snapToGrid w:val="0"/>
              <w:spacing w:line="420" w:lineRule="exact"/>
              <w:jc w:val="center"/>
              <w:rPr>
                <w:rFonts w:cs="Times New Roman"/>
                <w:color w:val="auto"/>
              </w:rPr>
            </w:pPr>
            <w:r>
              <w:rPr>
                <w:color w:val="auto"/>
                <w:kern w:val="0"/>
              </w:rPr>
              <w:t>4.1.2</w:t>
            </w:r>
          </w:p>
        </w:tc>
        <w:tc>
          <w:tcPr>
            <w:tcW w:w="2835" w:type="dxa"/>
            <w:vAlign w:val="center"/>
          </w:tcPr>
          <w:p>
            <w:pPr>
              <w:autoSpaceDE w:val="0"/>
              <w:autoSpaceDN w:val="0"/>
              <w:snapToGrid w:val="0"/>
              <w:spacing w:line="420" w:lineRule="exact"/>
              <w:jc w:val="center"/>
              <w:rPr>
                <w:rFonts w:cs="Times New Roman"/>
                <w:color w:val="auto"/>
              </w:rPr>
            </w:pPr>
            <w:r>
              <w:rPr>
                <w:rFonts w:hint="eastAsia" w:cs="宋体"/>
                <w:color w:val="auto"/>
                <w:kern w:val="0"/>
              </w:rPr>
              <w:t>封套上应载明的信息</w:t>
            </w:r>
          </w:p>
        </w:tc>
        <w:tc>
          <w:tcPr>
            <w:tcW w:w="5953" w:type="dxa"/>
            <w:vAlign w:val="center"/>
          </w:tcPr>
          <w:p>
            <w:pPr>
              <w:autoSpaceDE w:val="0"/>
              <w:autoSpaceDN w:val="0"/>
              <w:snapToGrid w:val="0"/>
              <w:rPr>
                <w:rFonts w:cs="Times New Roman"/>
                <w:b/>
                <w:bCs/>
                <w:color w:val="auto"/>
              </w:rPr>
            </w:pPr>
            <w:r>
              <w:rPr>
                <w:rFonts w:hint="eastAsia" w:cs="宋体"/>
                <w:b/>
                <w:bCs/>
                <w:color w:val="auto"/>
                <w:kern w:val="0"/>
              </w:rPr>
              <w:t>投标文件第一个信封（商务及技术文件）封套：</w:t>
            </w:r>
          </w:p>
          <w:p>
            <w:pPr>
              <w:autoSpaceDE w:val="0"/>
              <w:autoSpaceDN w:val="0"/>
              <w:snapToGrid w:val="0"/>
              <w:rPr>
                <w:rFonts w:cs="Times New Roman"/>
                <w:color w:val="auto"/>
              </w:rPr>
            </w:pPr>
            <w:r>
              <w:rPr>
                <w:rFonts w:hint="eastAsia" w:cs="宋体"/>
                <w:color w:val="auto"/>
                <w:kern w:val="0"/>
              </w:rPr>
              <w:t>招标人名称：</w:t>
            </w:r>
            <w:r>
              <w:rPr>
                <w:color w:val="auto"/>
                <w:kern w:val="0"/>
              </w:rPr>
              <w:t>____________</w:t>
            </w:r>
          </w:p>
          <w:p>
            <w:pPr>
              <w:autoSpaceDE w:val="0"/>
              <w:autoSpaceDN w:val="0"/>
              <w:snapToGrid w:val="0"/>
              <w:rPr>
                <w:rFonts w:cs="Times New Roman"/>
                <w:color w:val="auto"/>
              </w:rPr>
            </w:pPr>
            <w:r>
              <w:rPr>
                <w:rFonts w:hint="eastAsia" w:cs="宋体"/>
                <w:color w:val="auto"/>
                <w:kern w:val="0"/>
              </w:rPr>
              <w:t>招标人地址：</w:t>
            </w:r>
            <w:r>
              <w:rPr>
                <w:color w:val="auto"/>
                <w:kern w:val="0"/>
              </w:rPr>
              <w:t>____________</w:t>
            </w:r>
          </w:p>
          <w:p>
            <w:pPr>
              <w:autoSpaceDE w:val="0"/>
              <w:autoSpaceDN w:val="0"/>
              <w:snapToGrid w:val="0"/>
              <w:rPr>
                <w:rFonts w:cs="Times New Roman"/>
                <w:color w:val="auto"/>
              </w:rPr>
            </w:pPr>
            <w:r>
              <w:rPr>
                <w:rFonts w:hint="eastAsia" w:cs="宋体"/>
                <w:color w:val="auto"/>
                <w:kern w:val="0"/>
              </w:rPr>
              <w:t>（项目名称）勘察招标第一个信封（商务及技术文件）投标文件</w:t>
            </w:r>
          </w:p>
          <w:p>
            <w:pPr>
              <w:autoSpaceDE w:val="0"/>
              <w:autoSpaceDN w:val="0"/>
              <w:snapToGrid w:val="0"/>
              <w:rPr>
                <w:rFonts w:cs="Times New Roman"/>
                <w:color w:val="auto"/>
              </w:rPr>
            </w:pPr>
            <w:r>
              <w:rPr>
                <w:rFonts w:hint="eastAsia" w:cs="宋体"/>
                <w:color w:val="auto"/>
                <w:kern w:val="0"/>
              </w:rPr>
              <w:t>招标项目编号：</w:t>
            </w:r>
            <w:r>
              <w:rPr>
                <w:color w:val="auto"/>
                <w:kern w:val="0"/>
              </w:rPr>
              <w:t>____________</w:t>
            </w:r>
          </w:p>
          <w:p>
            <w:pPr>
              <w:autoSpaceDE w:val="0"/>
              <w:autoSpaceDN w:val="0"/>
              <w:snapToGrid w:val="0"/>
              <w:rPr>
                <w:rFonts w:cs="Times New Roman"/>
                <w:color w:val="auto"/>
              </w:rPr>
            </w:pPr>
            <w:r>
              <w:rPr>
                <w:rFonts w:hint="eastAsia" w:cs="宋体"/>
                <w:color w:val="auto"/>
                <w:kern w:val="0"/>
              </w:rPr>
              <w:t>在年月日时分前不得开启</w:t>
            </w:r>
          </w:p>
          <w:p>
            <w:pPr>
              <w:autoSpaceDE w:val="0"/>
              <w:autoSpaceDN w:val="0"/>
              <w:snapToGrid w:val="0"/>
              <w:rPr>
                <w:rFonts w:cs="Times New Roman"/>
                <w:color w:val="auto"/>
              </w:rPr>
            </w:pPr>
            <w:r>
              <w:rPr>
                <w:rFonts w:hint="eastAsia" w:cs="宋体"/>
                <w:color w:val="auto"/>
                <w:kern w:val="0"/>
              </w:rPr>
              <w:t>投标人名称：</w:t>
            </w:r>
            <w:r>
              <w:rPr>
                <w:color w:val="auto"/>
                <w:kern w:val="0"/>
              </w:rPr>
              <w:t>____________</w:t>
            </w:r>
          </w:p>
          <w:p>
            <w:pPr>
              <w:autoSpaceDE w:val="0"/>
              <w:autoSpaceDN w:val="0"/>
              <w:snapToGrid w:val="0"/>
              <w:rPr>
                <w:rFonts w:cs="Times New Roman"/>
                <w:color w:val="auto"/>
              </w:rPr>
            </w:pPr>
          </w:p>
          <w:p>
            <w:pPr>
              <w:autoSpaceDE w:val="0"/>
              <w:autoSpaceDN w:val="0"/>
              <w:snapToGrid w:val="0"/>
              <w:rPr>
                <w:rFonts w:cs="Times New Roman"/>
                <w:b/>
                <w:bCs/>
                <w:color w:val="auto"/>
              </w:rPr>
            </w:pPr>
            <w:r>
              <w:rPr>
                <w:rFonts w:hint="eastAsia" w:cs="宋体"/>
                <w:b/>
                <w:bCs/>
                <w:color w:val="auto"/>
                <w:kern w:val="0"/>
              </w:rPr>
              <w:t>投标文件第二个信封（报价文件）封套：</w:t>
            </w:r>
          </w:p>
          <w:p>
            <w:pPr>
              <w:autoSpaceDE w:val="0"/>
              <w:autoSpaceDN w:val="0"/>
              <w:snapToGrid w:val="0"/>
              <w:rPr>
                <w:rFonts w:cs="Times New Roman"/>
                <w:color w:val="auto"/>
              </w:rPr>
            </w:pPr>
            <w:r>
              <w:rPr>
                <w:rFonts w:hint="eastAsia" w:cs="宋体"/>
                <w:color w:val="auto"/>
                <w:kern w:val="0"/>
              </w:rPr>
              <w:t>招标人名称：</w:t>
            </w:r>
            <w:r>
              <w:rPr>
                <w:color w:val="auto"/>
                <w:kern w:val="0"/>
              </w:rPr>
              <w:t>____________</w:t>
            </w:r>
          </w:p>
          <w:p>
            <w:pPr>
              <w:autoSpaceDE w:val="0"/>
              <w:autoSpaceDN w:val="0"/>
              <w:snapToGrid w:val="0"/>
              <w:rPr>
                <w:rFonts w:cs="Times New Roman"/>
                <w:color w:val="auto"/>
              </w:rPr>
            </w:pPr>
            <w:r>
              <w:rPr>
                <w:rFonts w:hint="eastAsia" w:cs="宋体"/>
                <w:color w:val="auto"/>
                <w:kern w:val="0"/>
              </w:rPr>
              <w:t>招标人地址：</w:t>
            </w:r>
            <w:r>
              <w:rPr>
                <w:color w:val="auto"/>
                <w:kern w:val="0"/>
              </w:rPr>
              <w:t>____________</w:t>
            </w:r>
          </w:p>
          <w:p>
            <w:pPr>
              <w:autoSpaceDE w:val="0"/>
              <w:autoSpaceDN w:val="0"/>
              <w:snapToGrid w:val="0"/>
              <w:rPr>
                <w:rFonts w:cs="Times New Roman"/>
                <w:color w:val="auto"/>
              </w:rPr>
            </w:pPr>
            <w:r>
              <w:rPr>
                <w:rFonts w:hint="eastAsia" w:cs="宋体"/>
                <w:color w:val="auto"/>
                <w:kern w:val="0"/>
              </w:rPr>
              <w:t>（项目名称）勘察招标第二个信封（报价文件）投标文件</w:t>
            </w:r>
          </w:p>
          <w:p>
            <w:pPr>
              <w:autoSpaceDE w:val="0"/>
              <w:autoSpaceDN w:val="0"/>
              <w:snapToGrid w:val="0"/>
              <w:rPr>
                <w:rFonts w:cs="Times New Roman"/>
                <w:color w:val="auto"/>
              </w:rPr>
            </w:pPr>
            <w:r>
              <w:rPr>
                <w:rFonts w:hint="eastAsia" w:cs="宋体"/>
                <w:color w:val="auto"/>
                <w:kern w:val="0"/>
              </w:rPr>
              <w:t>招标项目编号：</w:t>
            </w:r>
            <w:r>
              <w:rPr>
                <w:color w:val="auto"/>
                <w:kern w:val="0"/>
              </w:rPr>
              <w:t>____________</w:t>
            </w:r>
          </w:p>
          <w:p>
            <w:pPr>
              <w:autoSpaceDE w:val="0"/>
              <w:autoSpaceDN w:val="0"/>
              <w:snapToGrid w:val="0"/>
              <w:rPr>
                <w:rFonts w:cs="Times New Roman"/>
                <w:color w:val="auto"/>
              </w:rPr>
            </w:pPr>
            <w:r>
              <w:rPr>
                <w:rFonts w:hint="eastAsia" w:cs="宋体"/>
                <w:color w:val="auto"/>
                <w:kern w:val="0"/>
              </w:rPr>
              <w:t>在投标文件第二个信封（报价文件）开标前不得开启</w:t>
            </w:r>
          </w:p>
          <w:p>
            <w:pPr>
              <w:autoSpaceDE w:val="0"/>
              <w:autoSpaceDN w:val="0"/>
              <w:snapToGrid w:val="0"/>
              <w:rPr>
                <w:rFonts w:cs="Times New Roman"/>
                <w:color w:val="auto"/>
              </w:rPr>
            </w:pPr>
            <w:r>
              <w:rPr>
                <w:rFonts w:hint="eastAsia" w:cs="宋体"/>
                <w:color w:val="auto"/>
                <w:kern w:val="0"/>
              </w:rPr>
              <w:t>投标人名称：</w:t>
            </w:r>
            <w:r>
              <w:rPr>
                <w:color w:val="auto"/>
                <w:kern w:val="0"/>
              </w:rPr>
              <w:t>____________</w:t>
            </w:r>
          </w:p>
          <w:p>
            <w:pPr>
              <w:autoSpaceDE w:val="0"/>
              <w:autoSpaceDN w:val="0"/>
              <w:snapToGrid w:val="0"/>
              <w:rPr>
                <w:rFonts w:cs="Times New Roman"/>
                <w:color w:val="auto"/>
                <w:u w:val="single"/>
              </w:rPr>
            </w:pPr>
            <w:r>
              <w:rPr>
                <w:rFonts w:hint="eastAsia" w:cs="宋体"/>
                <w:color w:val="auto"/>
                <w:kern w:val="0"/>
              </w:rPr>
              <w:t>投标人地址：</w:t>
            </w:r>
            <w:r>
              <w:rPr>
                <w:color w:val="auto"/>
                <w:kern w:val="0"/>
              </w:rPr>
              <w:t>____________</w:t>
            </w:r>
          </w:p>
          <w:p>
            <w:pPr>
              <w:autoSpaceDE w:val="0"/>
              <w:autoSpaceDN w:val="0"/>
              <w:snapToGrid w:val="0"/>
              <w:rPr>
                <w:rFonts w:cs="Times New Roman"/>
                <w:color w:val="auto"/>
              </w:rPr>
            </w:pPr>
          </w:p>
          <w:p>
            <w:pPr>
              <w:autoSpaceDE w:val="0"/>
              <w:autoSpaceDN w:val="0"/>
              <w:snapToGrid w:val="0"/>
              <w:rPr>
                <w:rFonts w:cs="Times New Roman"/>
                <w:b/>
                <w:bCs/>
                <w:color w:val="auto"/>
              </w:rPr>
            </w:pPr>
            <w:r>
              <w:rPr>
                <w:rFonts w:hint="eastAsia" w:cs="宋体"/>
                <w:b/>
                <w:bCs/>
                <w:color w:val="auto"/>
                <w:kern w:val="0"/>
              </w:rPr>
              <w:t>银行保函封套：</w:t>
            </w:r>
          </w:p>
          <w:p>
            <w:pPr>
              <w:autoSpaceDE w:val="0"/>
              <w:autoSpaceDN w:val="0"/>
              <w:snapToGrid w:val="0"/>
              <w:rPr>
                <w:rFonts w:cs="Times New Roman"/>
                <w:color w:val="auto"/>
              </w:rPr>
            </w:pPr>
            <w:r>
              <w:rPr>
                <w:rFonts w:hint="eastAsia" w:cs="宋体"/>
                <w:color w:val="auto"/>
                <w:kern w:val="0"/>
              </w:rPr>
              <w:t>招标人名称：</w:t>
            </w:r>
            <w:r>
              <w:rPr>
                <w:color w:val="auto"/>
                <w:kern w:val="0"/>
              </w:rPr>
              <w:t>____________</w:t>
            </w:r>
          </w:p>
          <w:p>
            <w:pPr>
              <w:autoSpaceDE w:val="0"/>
              <w:autoSpaceDN w:val="0"/>
              <w:snapToGrid w:val="0"/>
              <w:rPr>
                <w:rFonts w:cs="Times New Roman"/>
                <w:color w:val="auto"/>
              </w:rPr>
            </w:pPr>
            <w:r>
              <w:rPr>
                <w:rFonts w:hint="eastAsia" w:cs="宋体"/>
                <w:color w:val="auto"/>
                <w:kern w:val="0"/>
              </w:rPr>
              <w:t>招标人地址：</w:t>
            </w:r>
            <w:r>
              <w:rPr>
                <w:color w:val="auto"/>
                <w:kern w:val="0"/>
              </w:rPr>
              <w:t>____________</w:t>
            </w:r>
          </w:p>
          <w:p>
            <w:pPr>
              <w:autoSpaceDE w:val="0"/>
              <w:autoSpaceDN w:val="0"/>
              <w:snapToGrid w:val="0"/>
              <w:jc w:val="left"/>
              <w:rPr>
                <w:rFonts w:cs="Times New Roman"/>
                <w:color w:val="auto"/>
              </w:rPr>
            </w:pPr>
            <w:r>
              <w:rPr>
                <w:color w:val="auto"/>
                <w:kern w:val="0"/>
              </w:rPr>
              <w:t>_________</w:t>
            </w:r>
            <w:r>
              <w:rPr>
                <w:rFonts w:hint="eastAsia" w:cs="宋体"/>
                <w:color w:val="auto"/>
                <w:kern w:val="0"/>
              </w:rPr>
              <w:t>（项目名称）勘察招标投标保证金（银行保函原件）</w:t>
            </w:r>
          </w:p>
          <w:p>
            <w:pPr>
              <w:autoSpaceDE w:val="0"/>
              <w:autoSpaceDN w:val="0"/>
              <w:snapToGrid w:val="0"/>
              <w:rPr>
                <w:rFonts w:cs="Times New Roman"/>
                <w:color w:val="auto"/>
              </w:rPr>
            </w:pPr>
            <w:r>
              <w:rPr>
                <w:rFonts w:hint="eastAsia" w:cs="宋体"/>
                <w:color w:val="auto"/>
                <w:kern w:val="0"/>
              </w:rPr>
              <w:t>招标项目编号：</w:t>
            </w:r>
            <w:r>
              <w:rPr>
                <w:color w:val="auto"/>
                <w:kern w:val="0"/>
              </w:rPr>
              <w:t>____________</w:t>
            </w:r>
          </w:p>
          <w:p>
            <w:pPr>
              <w:autoSpaceDE w:val="0"/>
              <w:autoSpaceDN w:val="0"/>
              <w:snapToGrid w:val="0"/>
              <w:rPr>
                <w:rFonts w:cs="Times New Roman"/>
                <w:color w:val="auto"/>
              </w:rPr>
            </w:pPr>
            <w:r>
              <w:rPr>
                <w:rFonts w:hint="eastAsia" w:cs="宋体"/>
                <w:color w:val="auto"/>
                <w:kern w:val="0"/>
              </w:rPr>
              <w:t>投标人名称：</w:t>
            </w:r>
            <w:r>
              <w:rPr>
                <w:color w:val="auto"/>
                <w:kern w:val="0"/>
              </w:rPr>
              <w:t>____________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9" w:type="dxa"/>
          <w:trHeight w:val="694" w:hRule="atLeast"/>
          <w:jc w:val="center"/>
        </w:trPr>
        <w:tc>
          <w:tcPr>
            <w:tcW w:w="1039" w:type="dxa"/>
            <w:vAlign w:val="center"/>
          </w:tcPr>
          <w:p>
            <w:pPr>
              <w:autoSpaceDE w:val="0"/>
              <w:autoSpaceDN w:val="0"/>
              <w:snapToGrid w:val="0"/>
              <w:spacing w:line="420" w:lineRule="exact"/>
              <w:jc w:val="center"/>
              <w:rPr>
                <w:color w:val="auto"/>
                <w:kern w:val="0"/>
              </w:rPr>
            </w:pPr>
            <w:r>
              <w:rPr>
                <w:color w:val="auto"/>
                <w:kern w:val="0"/>
              </w:rPr>
              <w:t>4.2.3</w:t>
            </w:r>
          </w:p>
        </w:tc>
        <w:tc>
          <w:tcPr>
            <w:tcW w:w="2835" w:type="dxa"/>
            <w:vAlign w:val="center"/>
          </w:tcPr>
          <w:p>
            <w:pPr>
              <w:autoSpaceDE w:val="0"/>
              <w:autoSpaceDN w:val="0"/>
              <w:snapToGrid w:val="0"/>
              <w:spacing w:line="420" w:lineRule="exact"/>
              <w:jc w:val="center"/>
              <w:rPr>
                <w:rFonts w:cs="Times New Roman"/>
                <w:color w:val="auto"/>
                <w:kern w:val="0"/>
              </w:rPr>
            </w:pPr>
            <w:r>
              <w:rPr>
                <w:rFonts w:hint="eastAsia" w:cs="宋体"/>
                <w:color w:val="auto"/>
                <w:kern w:val="0"/>
              </w:rPr>
              <w:t>是否退还投标文件</w:t>
            </w:r>
          </w:p>
        </w:tc>
        <w:tc>
          <w:tcPr>
            <w:tcW w:w="5953" w:type="dxa"/>
            <w:vAlign w:val="center"/>
          </w:tcPr>
          <w:p>
            <w:pPr>
              <w:autoSpaceDE w:val="0"/>
              <w:autoSpaceDN w:val="0"/>
              <w:snapToGrid w:val="0"/>
              <w:rPr>
                <w:rFonts w:cs="Times New Roman"/>
                <w:color w:val="auto"/>
              </w:rPr>
            </w:pPr>
            <w:r>
              <w:rPr>
                <w:rFonts w:cs="Times New Roman"/>
                <w:color w:val="auto"/>
                <w:kern w:val="0"/>
                <w:szCs w:val="20"/>
              </w:rPr>
              <w:sym w:font="Wingdings" w:char="F0FE"/>
            </w:r>
            <w:r>
              <w:rPr>
                <w:rFonts w:hint="eastAsia" w:cs="宋体"/>
                <w:color w:val="auto"/>
                <w:kern w:val="0"/>
              </w:rPr>
              <w:t>否</w:t>
            </w:r>
          </w:p>
          <w:p>
            <w:pPr>
              <w:autoSpaceDE w:val="0"/>
              <w:autoSpaceDN w:val="0"/>
              <w:snapToGrid w:val="0"/>
              <w:rPr>
                <w:rFonts w:cs="Times New Roman"/>
                <w:color w:val="auto"/>
                <w:kern w:val="0"/>
              </w:rPr>
            </w:pPr>
            <w:r>
              <w:rPr>
                <w:color w:val="auto"/>
                <w:kern w:val="0"/>
              </w:rPr>
              <w:t>□</w:t>
            </w:r>
            <w:r>
              <w:rPr>
                <w:rFonts w:hint="eastAsia" w:cs="宋体"/>
                <w:color w:val="auto"/>
                <w:kern w:val="0"/>
              </w:rPr>
              <w:t>是，退换时间：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9" w:type="dxa"/>
          <w:trHeight w:val="629" w:hRule="atLeast"/>
          <w:jc w:val="center"/>
        </w:trPr>
        <w:tc>
          <w:tcPr>
            <w:tcW w:w="1039" w:type="dxa"/>
            <w:tcBorders>
              <w:bottom w:val="single" w:color="auto" w:sz="12" w:space="0"/>
            </w:tcBorders>
            <w:vAlign w:val="center"/>
          </w:tcPr>
          <w:p>
            <w:pPr>
              <w:autoSpaceDE w:val="0"/>
              <w:autoSpaceDN w:val="0"/>
              <w:snapToGrid w:val="0"/>
              <w:jc w:val="center"/>
              <w:rPr>
                <w:color w:val="auto"/>
                <w:kern w:val="0"/>
              </w:rPr>
            </w:pPr>
            <w:r>
              <w:rPr>
                <w:color w:val="auto"/>
                <w:kern w:val="0"/>
              </w:rPr>
              <w:t>5.1</w:t>
            </w:r>
          </w:p>
        </w:tc>
        <w:tc>
          <w:tcPr>
            <w:tcW w:w="2835" w:type="dxa"/>
            <w:tcBorders>
              <w:bottom w:val="single" w:color="auto" w:sz="12" w:space="0"/>
            </w:tcBorders>
            <w:vAlign w:val="center"/>
          </w:tcPr>
          <w:p>
            <w:pPr>
              <w:autoSpaceDE w:val="0"/>
              <w:autoSpaceDN w:val="0"/>
              <w:snapToGrid w:val="0"/>
              <w:jc w:val="center"/>
              <w:rPr>
                <w:rFonts w:cs="Times New Roman"/>
                <w:color w:val="auto"/>
                <w:kern w:val="0"/>
              </w:rPr>
            </w:pPr>
            <w:r>
              <w:rPr>
                <w:rFonts w:hint="eastAsia" w:cs="宋体"/>
                <w:color w:val="auto"/>
                <w:kern w:val="0"/>
              </w:rPr>
              <w:t>开标时间和地点</w:t>
            </w:r>
          </w:p>
        </w:tc>
        <w:tc>
          <w:tcPr>
            <w:tcW w:w="5953" w:type="dxa"/>
            <w:tcBorders>
              <w:bottom w:val="single" w:color="auto" w:sz="12" w:space="0"/>
            </w:tcBorders>
            <w:vAlign w:val="center"/>
          </w:tcPr>
          <w:p>
            <w:pPr>
              <w:snapToGrid w:val="0"/>
              <w:jc w:val="left"/>
              <w:rPr>
                <w:rFonts w:cs="Times New Roman"/>
                <w:color w:val="auto"/>
                <w:kern w:val="0"/>
              </w:rPr>
            </w:pPr>
            <w:r>
              <w:rPr>
                <w:rFonts w:hint="eastAsia" w:cs="宋体"/>
                <w:color w:val="auto"/>
                <w:kern w:val="0"/>
              </w:rPr>
              <w:t>投标文件第一个信封（商务及技术文件）</w:t>
            </w:r>
          </w:p>
          <w:p>
            <w:pPr>
              <w:snapToGrid w:val="0"/>
              <w:jc w:val="left"/>
              <w:rPr>
                <w:rFonts w:cs="Times New Roman"/>
                <w:color w:val="auto"/>
              </w:rPr>
            </w:pPr>
            <w:r>
              <w:rPr>
                <w:rFonts w:hint="eastAsia" w:cs="宋体"/>
                <w:color w:val="auto"/>
                <w:kern w:val="0"/>
              </w:rPr>
              <w:t>开标时间：同投标截止时间</w:t>
            </w:r>
          </w:p>
          <w:p>
            <w:pPr>
              <w:snapToGrid w:val="0"/>
              <w:jc w:val="left"/>
              <w:rPr>
                <w:rFonts w:cs="Times New Roman"/>
                <w:color w:val="auto"/>
                <w:kern w:val="0"/>
              </w:rPr>
            </w:pPr>
            <w:r>
              <w:rPr>
                <w:rFonts w:hint="eastAsia" w:cs="宋体"/>
                <w:color w:val="auto"/>
                <w:kern w:val="0"/>
              </w:rPr>
              <w:t>投标文件第一个信封（商务及技术文件）</w:t>
            </w:r>
          </w:p>
          <w:p>
            <w:pPr>
              <w:snapToGrid w:val="0"/>
              <w:jc w:val="left"/>
              <w:rPr>
                <w:rFonts w:cs="Times New Roman"/>
                <w:color w:val="auto"/>
                <w:u w:val="single"/>
              </w:rPr>
            </w:pPr>
            <w:r>
              <w:rPr>
                <w:rFonts w:hint="eastAsia" w:cs="宋体"/>
                <w:color w:val="auto"/>
                <w:kern w:val="0"/>
              </w:rPr>
              <w:t>开标地点：同递交投标文件地点</w:t>
            </w:r>
          </w:p>
          <w:p>
            <w:pPr>
              <w:snapToGrid w:val="0"/>
              <w:jc w:val="left"/>
              <w:rPr>
                <w:rFonts w:cs="Times New Roman"/>
                <w:color w:val="auto"/>
                <w:kern w:val="0"/>
              </w:rPr>
            </w:pPr>
            <w:r>
              <w:rPr>
                <w:rFonts w:hint="eastAsia" w:cs="宋体"/>
                <w:color w:val="auto"/>
                <w:kern w:val="0"/>
              </w:rPr>
              <w:t>投标文件第二个信封（报价文件）</w:t>
            </w:r>
          </w:p>
          <w:p>
            <w:pPr>
              <w:snapToGrid w:val="0"/>
              <w:jc w:val="left"/>
              <w:rPr>
                <w:rFonts w:cs="Times New Roman"/>
                <w:color w:val="auto"/>
                <w:u w:val="single"/>
              </w:rPr>
            </w:pPr>
            <w:r>
              <w:rPr>
                <w:rFonts w:hint="eastAsia" w:cs="宋体"/>
                <w:color w:val="auto"/>
                <w:kern w:val="0"/>
              </w:rPr>
              <w:t>开标时间：</w:t>
            </w:r>
            <w:r>
              <w:rPr>
                <w:rFonts w:hint="eastAsia"/>
                <w:color w:val="auto"/>
                <w:kern w:val="0"/>
                <w:u w:val="single"/>
              </w:rPr>
              <w:t>2022</w:t>
            </w:r>
            <w:r>
              <w:rPr>
                <w:rFonts w:hint="eastAsia"/>
                <w:color w:val="auto"/>
                <w:kern w:val="0"/>
              </w:rPr>
              <w:t>年</w:t>
            </w:r>
            <w:r>
              <w:rPr>
                <w:rFonts w:hint="eastAsia"/>
                <w:color w:val="auto"/>
                <w:kern w:val="0"/>
                <w:u w:val="single"/>
              </w:rPr>
              <w:t>5</w:t>
            </w:r>
            <w:r>
              <w:rPr>
                <w:rFonts w:hint="eastAsia"/>
                <w:color w:val="auto"/>
                <w:kern w:val="0"/>
              </w:rPr>
              <w:t>月</w:t>
            </w:r>
            <w:r>
              <w:rPr>
                <w:rFonts w:hint="eastAsia"/>
                <w:color w:val="auto"/>
                <w:kern w:val="0"/>
                <w:u w:val="single"/>
                <w:lang w:val="en-US" w:eastAsia="zh-CN"/>
              </w:rPr>
              <w:t>20</w:t>
            </w:r>
            <w:r>
              <w:rPr>
                <w:rFonts w:hint="eastAsia"/>
                <w:color w:val="auto"/>
                <w:kern w:val="0"/>
              </w:rPr>
              <w:t>日</w:t>
            </w:r>
            <w:r>
              <w:rPr>
                <w:rFonts w:hint="eastAsia"/>
                <w:color w:val="auto"/>
                <w:kern w:val="0"/>
                <w:u w:val="single"/>
              </w:rPr>
              <w:t>14</w:t>
            </w:r>
            <w:r>
              <w:rPr>
                <w:rFonts w:hint="eastAsia"/>
                <w:color w:val="auto"/>
                <w:kern w:val="0"/>
              </w:rPr>
              <w:t>时</w:t>
            </w:r>
            <w:r>
              <w:rPr>
                <w:rFonts w:hint="eastAsia"/>
                <w:color w:val="auto"/>
                <w:kern w:val="0"/>
                <w:u w:val="single"/>
              </w:rPr>
              <w:t>0</w:t>
            </w:r>
            <w:r>
              <w:rPr>
                <w:color w:val="auto"/>
                <w:kern w:val="0"/>
                <w:u w:val="single"/>
              </w:rPr>
              <w:t>0</w:t>
            </w:r>
            <w:r>
              <w:rPr>
                <w:rFonts w:hint="eastAsia"/>
                <w:color w:val="auto"/>
                <w:kern w:val="0"/>
              </w:rPr>
              <w:t>分</w:t>
            </w:r>
          </w:p>
          <w:p>
            <w:pPr>
              <w:snapToGrid w:val="0"/>
              <w:jc w:val="left"/>
              <w:rPr>
                <w:rFonts w:cs="Times New Roman"/>
                <w:color w:val="auto"/>
                <w:kern w:val="0"/>
              </w:rPr>
            </w:pPr>
            <w:r>
              <w:rPr>
                <w:rFonts w:hint="eastAsia" w:cs="宋体"/>
                <w:color w:val="auto"/>
                <w:kern w:val="0"/>
              </w:rPr>
              <w:t>投标文件第二个信封（报价文件）</w:t>
            </w:r>
          </w:p>
          <w:p>
            <w:pPr>
              <w:snapToGrid w:val="0"/>
              <w:jc w:val="left"/>
              <w:rPr>
                <w:rFonts w:cs="Times New Roman"/>
                <w:color w:val="auto"/>
                <w:kern w:val="0"/>
              </w:rPr>
            </w:pPr>
            <w:r>
              <w:rPr>
                <w:rFonts w:hint="eastAsia" w:cs="宋体"/>
                <w:color w:val="auto"/>
                <w:kern w:val="0"/>
              </w:rPr>
              <w:t>开标地点：同递交投标文件地点</w:t>
            </w:r>
          </w:p>
        </w:tc>
      </w:tr>
    </w:tbl>
    <w:p>
      <w:pPr>
        <w:jc w:val="right"/>
        <w:rPr>
          <w:rFonts w:cs="Times New Roman"/>
          <w:color w:val="auto"/>
          <w:kern w:val="0"/>
        </w:rPr>
      </w:pPr>
    </w:p>
    <w:p>
      <w:pPr>
        <w:jc w:val="right"/>
        <w:rPr>
          <w:rFonts w:cs="Times New Roman"/>
          <w:color w:val="auto"/>
        </w:rPr>
      </w:pPr>
      <w:r>
        <w:rPr>
          <w:rFonts w:cs="Times New Roman"/>
          <w:color w:val="auto"/>
          <w:kern w:val="0"/>
        </w:rPr>
        <w:br w:type="page"/>
      </w:r>
      <w:r>
        <w:rPr>
          <w:rFonts w:hint="eastAsia" w:cs="宋体"/>
          <w:color w:val="auto"/>
          <w:kern w:val="0"/>
        </w:rPr>
        <w:t>续上表</w:t>
      </w:r>
    </w:p>
    <w:tbl>
      <w:tblPr>
        <w:tblStyle w:val="20"/>
        <w:tblW w:w="982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38"/>
        <w:gridCol w:w="2833"/>
        <w:gridCol w:w="59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1038" w:type="dxa"/>
            <w:tcBorders>
              <w:top w:val="single" w:color="auto" w:sz="12" w:space="0"/>
            </w:tcBorders>
            <w:vAlign w:val="center"/>
          </w:tcPr>
          <w:p>
            <w:pPr>
              <w:autoSpaceDE w:val="0"/>
              <w:autoSpaceDN w:val="0"/>
              <w:adjustRightInd w:val="0"/>
              <w:snapToGrid w:val="0"/>
              <w:ind w:left="-92" w:leftChars="-44" w:right="-107" w:rightChars="-51"/>
              <w:jc w:val="center"/>
              <w:rPr>
                <w:rFonts w:cs="Times New Roman"/>
                <w:b/>
                <w:bCs/>
                <w:color w:val="auto"/>
                <w:kern w:val="0"/>
              </w:rPr>
            </w:pPr>
            <w:r>
              <w:rPr>
                <w:rFonts w:hint="eastAsia" w:cs="宋体"/>
                <w:b/>
                <w:bCs/>
                <w:color w:val="auto"/>
                <w:kern w:val="0"/>
              </w:rPr>
              <w:t>条款号</w:t>
            </w:r>
          </w:p>
        </w:tc>
        <w:tc>
          <w:tcPr>
            <w:tcW w:w="2833" w:type="dxa"/>
            <w:tcBorders>
              <w:top w:val="single" w:color="auto" w:sz="12" w:space="0"/>
            </w:tcBorders>
            <w:vAlign w:val="center"/>
          </w:tcPr>
          <w:p>
            <w:pPr>
              <w:autoSpaceDE w:val="0"/>
              <w:autoSpaceDN w:val="0"/>
              <w:adjustRightInd w:val="0"/>
              <w:snapToGrid w:val="0"/>
              <w:jc w:val="center"/>
              <w:rPr>
                <w:rFonts w:cs="Times New Roman"/>
                <w:b/>
                <w:bCs/>
                <w:color w:val="auto"/>
                <w:kern w:val="0"/>
              </w:rPr>
            </w:pPr>
            <w:r>
              <w:rPr>
                <w:rFonts w:hint="eastAsia" w:cs="宋体"/>
                <w:b/>
                <w:bCs/>
                <w:color w:val="auto"/>
                <w:kern w:val="0"/>
              </w:rPr>
              <w:t>条款名称</w:t>
            </w:r>
          </w:p>
        </w:tc>
        <w:tc>
          <w:tcPr>
            <w:tcW w:w="5956" w:type="dxa"/>
            <w:tcBorders>
              <w:top w:val="single" w:color="auto" w:sz="12" w:space="0"/>
            </w:tcBorders>
            <w:vAlign w:val="center"/>
          </w:tcPr>
          <w:p>
            <w:pPr>
              <w:autoSpaceDE w:val="0"/>
              <w:autoSpaceDN w:val="0"/>
              <w:adjustRightInd w:val="0"/>
              <w:snapToGrid w:val="0"/>
              <w:jc w:val="center"/>
              <w:rPr>
                <w:rFonts w:cs="Times New Roman"/>
                <w:b/>
                <w:bCs/>
                <w:color w:val="auto"/>
                <w:kern w:val="0"/>
              </w:rPr>
            </w:pPr>
            <w:r>
              <w:rPr>
                <w:rFonts w:hint="eastAsia" w:cs="宋体"/>
                <w:b/>
                <w:bCs/>
                <w:color w:val="auto"/>
                <w:kern w:val="0"/>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9" w:hRule="atLeast"/>
          <w:jc w:val="center"/>
        </w:trPr>
        <w:tc>
          <w:tcPr>
            <w:tcW w:w="1038" w:type="dxa"/>
            <w:vAlign w:val="center"/>
          </w:tcPr>
          <w:p>
            <w:pPr>
              <w:autoSpaceDE w:val="0"/>
              <w:autoSpaceDN w:val="0"/>
              <w:snapToGrid w:val="0"/>
              <w:jc w:val="center"/>
              <w:rPr>
                <w:rFonts w:cs="Times New Roman"/>
                <w:b/>
                <w:bCs/>
                <w:color w:val="auto"/>
              </w:rPr>
            </w:pPr>
            <w:r>
              <w:rPr>
                <w:color w:val="auto"/>
                <w:kern w:val="0"/>
              </w:rPr>
              <w:t>5.2.1</w:t>
            </w:r>
          </w:p>
        </w:tc>
        <w:tc>
          <w:tcPr>
            <w:tcW w:w="2833" w:type="dxa"/>
            <w:vAlign w:val="center"/>
          </w:tcPr>
          <w:p>
            <w:pPr>
              <w:autoSpaceDE w:val="0"/>
              <w:autoSpaceDN w:val="0"/>
              <w:snapToGrid w:val="0"/>
              <w:jc w:val="center"/>
              <w:rPr>
                <w:rFonts w:cs="Times New Roman"/>
                <w:b/>
                <w:bCs/>
                <w:color w:val="auto"/>
              </w:rPr>
            </w:pPr>
            <w:r>
              <w:rPr>
                <w:rFonts w:hint="eastAsia" w:cs="宋体"/>
                <w:color w:val="auto"/>
                <w:kern w:val="0"/>
              </w:rPr>
              <w:t>第一个信封（商务及技术文件）开标程序</w:t>
            </w:r>
          </w:p>
        </w:tc>
        <w:tc>
          <w:tcPr>
            <w:tcW w:w="5956" w:type="dxa"/>
            <w:vAlign w:val="center"/>
          </w:tcPr>
          <w:p>
            <w:pPr>
              <w:autoSpaceDE w:val="0"/>
              <w:autoSpaceDN w:val="0"/>
              <w:snapToGrid w:val="0"/>
              <w:spacing w:line="380" w:lineRule="exact"/>
              <w:jc w:val="left"/>
              <w:rPr>
                <w:rFonts w:cs="Times New Roman"/>
                <w:color w:val="auto"/>
              </w:rPr>
            </w:pPr>
            <w:r>
              <w:rPr>
                <w:rFonts w:hint="eastAsia" w:cs="宋体"/>
                <w:color w:val="auto"/>
                <w:kern w:val="0"/>
              </w:rPr>
              <w:t>（</w:t>
            </w:r>
            <w:r>
              <w:rPr>
                <w:color w:val="auto"/>
                <w:kern w:val="0"/>
              </w:rPr>
              <w:t>4</w:t>
            </w:r>
            <w:r>
              <w:rPr>
                <w:rFonts w:hint="eastAsia" w:cs="宋体"/>
                <w:color w:val="auto"/>
                <w:kern w:val="0"/>
              </w:rPr>
              <w:t>）密封情况检查：</w:t>
            </w:r>
            <w:r>
              <w:rPr>
                <w:rFonts w:hint="eastAsia" w:cs="宋体"/>
                <w:color w:val="auto"/>
                <w:kern w:val="0"/>
                <w:u w:val="single"/>
              </w:rPr>
              <w:t>检查商务及技术文件是否存在提前开启情况</w:t>
            </w:r>
          </w:p>
          <w:p>
            <w:pPr>
              <w:snapToGrid w:val="0"/>
              <w:jc w:val="left"/>
              <w:rPr>
                <w:rFonts w:cs="Times New Roman"/>
                <w:b/>
                <w:bCs/>
                <w:color w:val="auto"/>
              </w:rPr>
            </w:pPr>
            <w:r>
              <w:rPr>
                <w:rFonts w:hint="eastAsia" w:cs="宋体"/>
                <w:color w:val="auto"/>
                <w:kern w:val="0"/>
              </w:rPr>
              <w:t>（</w:t>
            </w:r>
            <w:r>
              <w:rPr>
                <w:color w:val="auto"/>
                <w:kern w:val="0"/>
              </w:rPr>
              <w:t>5</w:t>
            </w:r>
            <w:r>
              <w:rPr>
                <w:rFonts w:hint="eastAsia" w:cs="宋体"/>
                <w:color w:val="auto"/>
                <w:kern w:val="0"/>
              </w:rPr>
              <w:t>）开标顺序：</w:t>
            </w:r>
            <w:r>
              <w:rPr>
                <w:rFonts w:hint="eastAsia" w:cs="宋体"/>
                <w:color w:val="auto"/>
                <w:kern w:val="0"/>
                <w:u w:val="single"/>
              </w:rPr>
              <w:t>随机</w:t>
            </w:r>
            <w:r>
              <w:rPr>
                <w:color w:val="auto"/>
                <w:kern w:val="0"/>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9" w:hRule="atLeast"/>
          <w:jc w:val="center"/>
        </w:trPr>
        <w:tc>
          <w:tcPr>
            <w:tcW w:w="1038" w:type="dxa"/>
            <w:vAlign w:val="center"/>
          </w:tcPr>
          <w:p>
            <w:pPr>
              <w:pStyle w:val="50"/>
              <w:snapToGrid w:val="0"/>
              <w:jc w:val="center"/>
              <w:rPr>
                <w:color w:val="auto"/>
                <w:sz w:val="21"/>
                <w:szCs w:val="21"/>
              </w:rPr>
            </w:pPr>
            <w:r>
              <w:rPr>
                <w:color w:val="auto"/>
                <w:sz w:val="21"/>
                <w:szCs w:val="21"/>
              </w:rPr>
              <w:t>5.2.3</w:t>
            </w:r>
          </w:p>
        </w:tc>
        <w:tc>
          <w:tcPr>
            <w:tcW w:w="2833" w:type="dxa"/>
            <w:vAlign w:val="center"/>
          </w:tcPr>
          <w:p>
            <w:pPr>
              <w:pStyle w:val="50"/>
              <w:snapToGrid w:val="0"/>
              <w:jc w:val="center"/>
              <w:rPr>
                <w:rFonts w:cs="Times New Roman"/>
                <w:b/>
                <w:bCs/>
                <w:color w:val="auto"/>
                <w:sz w:val="21"/>
                <w:szCs w:val="21"/>
              </w:rPr>
            </w:pPr>
            <w:r>
              <w:rPr>
                <w:rFonts w:hint="eastAsia" w:cs="宋体"/>
                <w:color w:val="auto"/>
                <w:sz w:val="21"/>
                <w:szCs w:val="21"/>
              </w:rPr>
              <w:t>第二个信封（报价文件）开标程序</w:t>
            </w:r>
          </w:p>
        </w:tc>
        <w:tc>
          <w:tcPr>
            <w:tcW w:w="5956" w:type="dxa"/>
            <w:vAlign w:val="center"/>
          </w:tcPr>
          <w:p>
            <w:pPr>
              <w:pStyle w:val="50"/>
              <w:snapToGrid w:val="0"/>
              <w:spacing w:line="276" w:lineRule="auto"/>
              <w:jc w:val="both"/>
              <w:rPr>
                <w:rFonts w:cs="Times New Roman"/>
                <w:color w:val="auto"/>
                <w:sz w:val="21"/>
                <w:szCs w:val="21"/>
              </w:rPr>
            </w:pPr>
            <w:r>
              <w:rPr>
                <w:rFonts w:hint="eastAsia" w:cs="宋体"/>
                <w:color w:val="auto"/>
                <w:sz w:val="21"/>
                <w:szCs w:val="21"/>
              </w:rPr>
              <w:t>（</w:t>
            </w:r>
            <w:r>
              <w:rPr>
                <w:color w:val="auto"/>
                <w:sz w:val="21"/>
                <w:szCs w:val="21"/>
              </w:rPr>
              <w:t>4</w:t>
            </w:r>
            <w:r>
              <w:rPr>
                <w:rFonts w:hint="eastAsia" w:cs="宋体"/>
                <w:color w:val="auto"/>
                <w:sz w:val="21"/>
                <w:szCs w:val="21"/>
              </w:rPr>
              <w:t>）密封情况检查：</w:t>
            </w:r>
            <w:r>
              <w:rPr>
                <w:rFonts w:hint="eastAsia" w:cs="宋体"/>
                <w:color w:val="auto"/>
                <w:sz w:val="21"/>
                <w:szCs w:val="21"/>
                <w:u w:val="single"/>
              </w:rPr>
              <w:t>检查报价文件是否存在提前开启情况</w:t>
            </w:r>
          </w:p>
          <w:p>
            <w:pPr>
              <w:pStyle w:val="50"/>
              <w:snapToGrid w:val="0"/>
              <w:spacing w:line="276" w:lineRule="auto"/>
              <w:jc w:val="both"/>
              <w:rPr>
                <w:rFonts w:cs="Times New Roman"/>
                <w:b/>
                <w:bCs/>
                <w:color w:val="auto"/>
                <w:sz w:val="21"/>
                <w:szCs w:val="21"/>
              </w:rPr>
            </w:pPr>
            <w:r>
              <w:rPr>
                <w:rFonts w:hint="eastAsia" w:cs="宋体"/>
                <w:color w:val="auto"/>
                <w:sz w:val="21"/>
                <w:szCs w:val="21"/>
              </w:rPr>
              <w:t>（</w:t>
            </w:r>
            <w:r>
              <w:rPr>
                <w:color w:val="auto"/>
                <w:sz w:val="21"/>
                <w:szCs w:val="21"/>
              </w:rPr>
              <w:t>5</w:t>
            </w:r>
            <w:r>
              <w:rPr>
                <w:rFonts w:hint="eastAsia" w:cs="宋体"/>
                <w:color w:val="auto"/>
                <w:sz w:val="21"/>
                <w:szCs w:val="21"/>
              </w:rPr>
              <w:t>）开标顺序：</w:t>
            </w:r>
            <w:r>
              <w:rPr>
                <w:rFonts w:hint="eastAsia" w:cs="宋体"/>
                <w:color w:val="auto"/>
                <w:sz w:val="21"/>
                <w:szCs w:val="21"/>
                <w:u w:val="single"/>
              </w:rPr>
              <w:t>随机</w:t>
            </w:r>
            <w:r>
              <w:rPr>
                <w:color w:val="auto"/>
                <w:sz w:val="21"/>
                <w:szCs w:val="21"/>
                <w:u w:val="single"/>
              </w:rPr>
              <w:t xml:space="preserve">               .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9" w:hRule="atLeast"/>
          <w:jc w:val="center"/>
        </w:trPr>
        <w:tc>
          <w:tcPr>
            <w:tcW w:w="1038" w:type="dxa"/>
            <w:vAlign w:val="center"/>
          </w:tcPr>
          <w:p>
            <w:pPr>
              <w:autoSpaceDE w:val="0"/>
              <w:autoSpaceDN w:val="0"/>
              <w:snapToGrid w:val="0"/>
              <w:jc w:val="center"/>
              <w:rPr>
                <w:rFonts w:cs="Times New Roman"/>
                <w:color w:val="auto"/>
                <w:kern w:val="0"/>
              </w:rPr>
            </w:pPr>
            <w:r>
              <w:rPr>
                <w:color w:val="auto"/>
                <w:kern w:val="0"/>
              </w:rPr>
              <w:t>6.1.1</w:t>
            </w:r>
          </w:p>
        </w:tc>
        <w:tc>
          <w:tcPr>
            <w:tcW w:w="2833" w:type="dxa"/>
            <w:vAlign w:val="center"/>
          </w:tcPr>
          <w:p>
            <w:pPr>
              <w:autoSpaceDE w:val="0"/>
              <w:autoSpaceDN w:val="0"/>
              <w:snapToGrid w:val="0"/>
              <w:jc w:val="center"/>
              <w:rPr>
                <w:rFonts w:cs="Times New Roman"/>
                <w:color w:val="auto"/>
                <w:kern w:val="0"/>
              </w:rPr>
            </w:pPr>
            <w:r>
              <w:rPr>
                <w:rFonts w:hint="eastAsia" w:cs="宋体"/>
                <w:color w:val="auto"/>
                <w:kern w:val="0"/>
              </w:rPr>
              <w:t>评标委员会的组建</w:t>
            </w:r>
          </w:p>
        </w:tc>
        <w:tc>
          <w:tcPr>
            <w:tcW w:w="5956" w:type="dxa"/>
            <w:vAlign w:val="center"/>
          </w:tcPr>
          <w:p>
            <w:pPr>
              <w:autoSpaceDE w:val="0"/>
              <w:autoSpaceDN w:val="0"/>
              <w:snapToGrid w:val="0"/>
              <w:spacing w:line="276" w:lineRule="auto"/>
              <w:rPr>
                <w:rFonts w:cs="Times New Roman"/>
                <w:color w:val="auto"/>
              </w:rPr>
            </w:pPr>
            <w:r>
              <w:rPr>
                <w:rFonts w:hint="eastAsia" w:cs="宋体"/>
                <w:color w:val="auto"/>
                <w:kern w:val="0"/>
              </w:rPr>
              <w:t>评标委员会构成：</w:t>
            </w:r>
            <w:r>
              <w:rPr>
                <w:color w:val="auto"/>
                <w:kern w:val="0"/>
                <w:u w:val="single"/>
              </w:rPr>
              <w:t xml:space="preserve"> 5 </w:t>
            </w:r>
            <w:r>
              <w:rPr>
                <w:rFonts w:hint="eastAsia" w:cs="宋体"/>
                <w:color w:val="auto"/>
                <w:kern w:val="0"/>
              </w:rPr>
              <w:t>人，其中招标人代表</w:t>
            </w:r>
            <w:r>
              <w:rPr>
                <w:color w:val="auto"/>
                <w:kern w:val="0"/>
                <w:u w:val="single"/>
              </w:rPr>
              <w:t xml:space="preserve"> 1</w:t>
            </w:r>
            <w:r>
              <w:rPr>
                <w:rFonts w:hint="eastAsia" w:cs="宋体"/>
                <w:color w:val="auto"/>
                <w:kern w:val="0"/>
              </w:rPr>
              <w:t>人，专家</w:t>
            </w:r>
            <w:r>
              <w:rPr>
                <w:color w:val="auto"/>
                <w:kern w:val="0"/>
                <w:u w:val="single"/>
              </w:rPr>
              <w:t>4</w:t>
            </w:r>
            <w:r>
              <w:rPr>
                <w:rFonts w:hint="eastAsia" w:cs="宋体"/>
                <w:color w:val="auto"/>
                <w:kern w:val="0"/>
              </w:rPr>
              <w:t>人；</w:t>
            </w:r>
          </w:p>
          <w:p>
            <w:pPr>
              <w:autoSpaceDE w:val="0"/>
              <w:autoSpaceDN w:val="0"/>
              <w:snapToGrid w:val="0"/>
              <w:spacing w:line="276" w:lineRule="auto"/>
              <w:rPr>
                <w:rFonts w:cs="Times New Roman"/>
                <w:color w:val="auto"/>
                <w:kern w:val="0"/>
              </w:rPr>
            </w:pPr>
            <w:r>
              <w:rPr>
                <w:rFonts w:hint="eastAsia" w:cs="宋体"/>
                <w:color w:val="auto"/>
                <w:kern w:val="0"/>
              </w:rPr>
              <w:t>评标专家确定方式：依法从天津市交通运输评标专家库中随机抽取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9" w:hRule="atLeast"/>
          <w:jc w:val="center"/>
        </w:trPr>
        <w:tc>
          <w:tcPr>
            <w:tcW w:w="1038" w:type="dxa"/>
            <w:vAlign w:val="center"/>
          </w:tcPr>
          <w:p>
            <w:pPr>
              <w:autoSpaceDE w:val="0"/>
              <w:autoSpaceDN w:val="0"/>
              <w:snapToGrid w:val="0"/>
              <w:jc w:val="center"/>
              <w:rPr>
                <w:rFonts w:cs="Times New Roman"/>
                <w:color w:val="auto"/>
                <w:kern w:val="0"/>
              </w:rPr>
            </w:pPr>
            <w:r>
              <w:rPr>
                <w:color w:val="auto"/>
                <w:kern w:val="0"/>
              </w:rPr>
              <w:t>6.3.2</w:t>
            </w:r>
          </w:p>
        </w:tc>
        <w:tc>
          <w:tcPr>
            <w:tcW w:w="2833" w:type="dxa"/>
            <w:vAlign w:val="center"/>
          </w:tcPr>
          <w:p>
            <w:pPr>
              <w:autoSpaceDE w:val="0"/>
              <w:autoSpaceDN w:val="0"/>
              <w:snapToGrid w:val="0"/>
              <w:jc w:val="center"/>
              <w:rPr>
                <w:rFonts w:cs="Times New Roman"/>
                <w:color w:val="auto"/>
                <w:kern w:val="0"/>
              </w:rPr>
            </w:pPr>
            <w:r>
              <w:rPr>
                <w:rFonts w:hint="eastAsia" w:cs="宋体"/>
                <w:color w:val="auto"/>
                <w:kern w:val="0"/>
              </w:rPr>
              <w:t>评标委员会推荐中标候选人的人数</w:t>
            </w:r>
          </w:p>
        </w:tc>
        <w:tc>
          <w:tcPr>
            <w:tcW w:w="5956" w:type="dxa"/>
            <w:vAlign w:val="center"/>
          </w:tcPr>
          <w:p>
            <w:pPr>
              <w:autoSpaceDE w:val="0"/>
              <w:autoSpaceDN w:val="0"/>
              <w:snapToGrid w:val="0"/>
              <w:spacing w:line="276" w:lineRule="auto"/>
              <w:rPr>
                <w:rFonts w:cs="Times New Roman"/>
                <w:color w:val="auto"/>
                <w:kern w:val="0"/>
              </w:rPr>
            </w:pPr>
            <w:r>
              <w:rPr>
                <w:rFonts w:hint="eastAsia" w:cs="宋体"/>
                <w:color w:val="auto"/>
                <w:kern w:val="0"/>
              </w:rPr>
              <w:t>一至三个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59" w:hRule="atLeast"/>
          <w:jc w:val="center"/>
        </w:trPr>
        <w:tc>
          <w:tcPr>
            <w:tcW w:w="1038" w:type="dxa"/>
            <w:vAlign w:val="center"/>
          </w:tcPr>
          <w:p>
            <w:pPr>
              <w:autoSpaceDE w:val="0"/>
              <w:autoSpaceDN w:val="0"/>
              <w:snapToGrid w:val="0"/>
              <w:jc w:val="center"/>
              <w:rPr>
                <w:rFonts w:cs="Times New Roman"/>
                <w:color w:val="auto"/>
                <w:kern w:val="0"/>
              </w:rPr>
            </w:pPr>
            <w:r>
              <w:rPr>
                <w:color w:val="auto"/>
                <w:kern w:val="0"/>
              </w:rPr>
              <w:t>7.1</w:t>
            </w:r>
          </w:p>
        </w:tc>
        <w:tc>
          <w:tcPr>
            <w:tcW w:w="2833" w:type="dxa"/>
            <w:vAlign w:val="center"/>
          </w:tcPr>
          <w:p>
            <w:pPr>
              <w:autoSpaceDE w:val="0"/>
              <w:autoSpaceDN w:val="0"/>
              <w:snapToGrid w:val="0"/>
              <w:jc w:val="center"/>
              <w:rPr>
                <w:rFonts w:cs="Times New Roman"/>
                <w:color w:val="auto"/>
                <w:kern w:val="0"/>
              </w:rPr>
            </w:pPr>
            <w:r>
              <w:rPr>
                <w:rFonts w:hint="eastAsia" w:cs="宋体"/>
                <w:color w:val="auto"/>
                <w:kern w:val="0"/>
              </w:rPr>
              <w:t>中标候选人公示媒介及期限</w:t>
            </w:r>
          </w:p>
        </w:tc>
        <w:tc>
          <w:tcPr>
            <w:tcW w:w="5956" w:type="dxa"/>
            <w:vAlign w:val="center"/>
          </w:tcPr>
          <w:p>
            <w:pPr>
              <w:wordWrap w:val="0"/>
              <w:snapToGrid w:val="0"/>
              <w:rPr>
                <w:rFonts w:cs="Times New Roman"/>
                <w:color w:val="auto"/>
                <w:kern w:val="0"/>
              </w:rPr>
            </w:pPr>
            <w:r>
              <w:rPr>
                <w:rFonts w:hint="eastAsia" w:cs="宋体"/>
                <w:color w:val="auto"/>
                <w:kern w:val="0"/>
              </w:rPr>
              <w:t>公示媒介：天津市公共资源交易网（http://60.28.163.169/）、天津市滨海新区交通运输局官网（（http://jtysj.tjbh.gov.cn/）</w:t>
            </w:r>
          </w:p>
          <w:p>
            <w:pPr>
              <w:snapToGrid w:val="0"/>
              <w:rPr>
                <w:rFonts w:cs="Times New Roman"/>
                <w:color w:val="auto"/>
                <w:kern w:val="0"/>
              </w:rPr>
            </w:pPr>
            <w:r>
              <w:rPr>
                <w:rFonts w:hint="eastAsia" w:cs="宋体"/>
                <w:color w:val="auto"/>
                <w:kern w:val="0"/>
              </w:rPr>
              <w:t>公示期限：</w:t>
            </w:r>
            <w:r>
              <w:rPr>
                <w:color w:val="auto"/>
                <w:kern w:val="0"/>
                <w:u w:val="single"/>
              </w:rPr>
              <w:t xml:space="preserve">  3  </w:t>
            </w:r>
            <w:r>
              <w:rPr>
                <w:rFonts w:hint="eastAsia" w:cs="宋体"/>
                <w:color w:val="auto"/>
                <w:kern w:val="0"/>
              </w:rPr>
              <w:t>日</w:t>
            </w:r>
          </w:p>
          <w:p>
            <w:pPr>
              <w:autoSpaceDE w:val="0"/>
              <w:autoSpaceDN w:val="0"/>
              <w:snapToGrid w:val="0"/>
              <w:rPr>
                <w:rFonts w:cs="Times New Roman"/>
                <w:color w:val="auto"/>
                <w:kern w:val="0"/>
              </w:rPr>
            </w:pPr>
            <w:r>
              <w:rPr>
                <w:rFonts w:hint="eastAsia" w:cs="宋体"/>
                <w:color w:val="auto"/>
                <w:kern w:val="0"/>
              </w:rPr>
              <w:t>公示的其他内容：</w:t>
            </w:r>
            <w:r>
              <w:rPr>
                <w:rFonts w:hint="eastAsia" w:cs="宋体"/>
                <w:color w:val="auto"/>
                <w:u w:val="single"/>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9" w:hRule="atLeast"/>
          <w:jc w:val="center"/>
        </w:trPr>
        <w:tc>
          <w:tcPr>
            <w:tcW w:w="1038" w:type="dxa"/>
            <w:vAlign w:val="center"/>
          </w:tcPr>
          <w:p>
            <w:pPr>
              <w:autoSpaceDE w:val="0"/>
              <w:autoSpaceDN w:val="0"/>
              <w:snapToGrid w:val="0"/>
              <w:jc w:val="center"/>
              <w:rPr>
                <w:rFonts w:cs="Times New Roman"/>
                <w:color w:val="auto"/>
                <w:kern w:val="0"/>
              </w:rPr>
            </w:pPr>
            <w:r>
              <w:rPr>
                <w:color w:val="auto"/>
                <w:kern w:val="0"/>
              </w:rPr>
              <w:t>7.4</w:t>
            </w:r>
          </w:p>
        </w:tc>
        <w:tc>
          <w:tcPr>
            <w:tcW w:w="2833" w:type="dxa"/>
            <w:vAlign w:val="center"/>
          </w:tcPr>
          <w:p>
            <w:pPr>
              <w:autoSpaceDE w:val="0"/>
              <w:autoSpaceDN w:val="0"/>
              <w:snapToGrid w:val="0"/>
              <w:jc w:val="center"/>
              <w:rPr>
                <w:rFonts w:cs="Times New Roman"/>
                <w:color w:val="auto"/>
                <w:kern w:val="0"/>
              </w:rPr>
            </w:pPr>
            <w:r>
              <w:rPr>
                <w:rFonts w:hint="eastAsia" w:cs="宋体"/>
                <w:color w:val="auto"/>
                <w:kern w:val="0"/>
              </w:rPr>
              <w:t>是否授权评标委员会确定中标人</w:t>
            </w:r>
          </w:p>
        </w:tc>
        <w:tc>
          <w:tcPr>
            <w:tcW w:w="5956" w:type="dxa"/>
            <w:vAlign w:val="center"/>
          </w:tcPr>
          <w:p>
            <w:pPr>
              <w:snapToGrid w:val="0"/>
              <w:rPr>
                <w:rFonts w:cs="Times New Roman"/>
                <w:color w:val="auto"/>
              </w:rPr>
            </w:pPr>
            <w:r>
              <w:rPr>
                <w:color w:val="auto"/>
              </w:rPr>
              <w:t>□</w:t>
            </w:r>
            <w:r>
              <w:rPr>
                <w:rFonts w:hint="eastAsia" w:cs="宋体"/>
                <w:color w:val="auto"/>
              </w:rPr>
              <w:t>是</w:t>
            </w:r>
          </w:p>
          <w:p>
            <w:pPr>
              <w:autoSpaceDE w:val="0"/>
              <w:autoSpaceDN w:val="0"/>
              <w:snapToGrid w:val="0"/>
              <w:spacing w:line="276" w:lineRule="auto"/>
              <w:rPr>
                <w:rFonts w:cs="Times New Roman"/>
                <w:color w:val="auto"/>
                <w:kern w:val="0"/>
              </w:rPr>
            </w:pPr>
            <w:r>
              <w:rPr>
                <w:rFonts w:cs="Times New Roman"/>
                <w:color w:val="auto"/>
                <w:kern w:val="0"/>
                <w:szCs w:val="20"/>
              </w:rPr>
              <w:sym w:font="Wingdings" w:char="F0FE"/>
            </w:r>
            <w:r>
              <w:rPr>
                <w:rFonts w:hint="eastAsia" w:cs="宋体"/>
                <w:color w:val="auto"/>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9" w:hRule="atLeast"/>
          <w:jc w:val="center"/>
        </w:trPr>
        <w:tc>
          <w:tcPr>
            <w:tcW w:w="1038" w:type="dxa"/>
            <w:vAlign w:val="center"/>
          </w:tcPr>
          <w:p>
            <w:pPr>
              <w:autoSpaceDE w:val="0"/>
              <w:autoSpaceDN w:val="0"/>
              <w:snapToGrid w:val="0"/>
              <w:jc w:val="center"/>
              <w:rPr>
                <w:rFonts w:cs="Times New Roman"/>
                <w:color w:val="auto"/>
                <w:kern w:val="0"/>
              </w:rPr>
            </w:pPr>
            <w:r>
              <w:rPr>
                <w:color w:val="auto"/>
                <w:kern w:val="0"/>
              </w:rPr>
              <w:t>7.5</w:t>
            </w:r>
          </w:p>
        </w:tc>
        <w:tc>
          <w:tcPr>
            <w:tcW w:w="2833" w:type="dxa"/>
            <w:vAlign w:val="center"/>
          </w:tcPr>
          <w:p>
            <w:pPr>
              <w:autoSpaceDE w:val="0"/>
              <w:autoSpaceDN w:val="0"/>
              <w:snapToGrid w:val="0"/>
              <w:jc w:val="center"/>
              <w:rPr>
                <w:rFonts w:cs="Times New Roman"/>
                <w:color w:val="auto"/>
                <w:kern w:val="0"/>
              </w:rPr>
            </w:pPr>
            <w:r>
              <w:rPr>
                <w:rFonts w:hint="eastAsia" w:cs="宋体"/>
                <w:color w:val="auto"/>
                <w:kern w:val="0"/>
              </w:rPr>
              <w:t>中标通知书和中标结果通知发出的形式</w:t>
            </w:r>
          </w:p>
        </w:tc>
        <w:tc>
          <w:tcPr>
            <w:tcW w:w="5956" w:type="dxa"/>
            <w:vAlign w:val="center"/>
          </w:tcPr>
          <w:p>
            <w:pPr>
              <w:autoSpaceDE w:val="0"/>
              <w:autoSpaceDN w:val="0"/>
              <w:snapToGrid w:val="0"/>
              <w:spacing w:line="276" w:lineRule="auto"/>
              <w:rPr>
                <w:rFonts w:cs="Times New Roman"/>
                <w:color w:val="auto"/>
                <w:kern w:val="0"/>
              </w:rPr>
            </w:pPr>
            <w:r>
              <w:rPr>
                <w:rFonts w:hint="eastAsia" w:cs="宋体"/>
                <w:color w:val="auto"/>
              </w:rPr>
              <w:t>书面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9" w:hRule="atLeast"/>
          <w:jc w:val="center"/>
        </w:trPr>
        <w:tc>
          <w:tcPr>
            <w:tcW w:w="1038" w:type="dxa"/>
            <w:vAlign w:val="center"/>
          </w:tcPr>
          <w:p>
            <w:pPr>
              <w:autoSpaceDE w:val="0"/>
              <w:autoSpaceDN w:val="0"/>
              <w:snapToGrid w:val="0"/>
              <w:jc w:val="center"/>
              <w:rPr>
                <w:color w:val="auto"/>
                <w:kern w:val="0"/>
              </w:rPr>
            </w:pPr>
            <w:r>
              <w:rPr>
                <w:color w:val="auto"/>
                <w:kern w:val="0"/>
              </w:rPr>
              <w:t>7.6</w:t>
            </w:r>
          </w:p>
        </w:tc>
        <w:tc>
          <w:tcPr>
            <w:tcW w:w="2833" w:type="dxa"/>
            <w:vAlign w:val="center"/>
          </w:tcPr>
          <w:p>
            <w:pPr>
              <w:autoSpaceDE w:val="0"/>
              <w:autoSpaceDN w:val="0"/>
              <w:snapToGrid w:val="0"/>
              <w:jc w:val="center"/>
              <w:rPr>
                <w:rFonts w:cs="Times New Roman"/>
                <w:color w:val="auto"/>
                <w:kern w:val="0"/>
              </w:rPr>
            </w:pPr>
            <w:r>
              <w:rPr>
                <w:rFonts w:hint="eastAsia" w:cs="宋体"/>
                <w:color w:val="auto"/>
                <w:kern w:val="0"/>
              </w:rPr>
              <w:t>中标结果公告媒介及期限</w:t>
            </w:r>
          </w:p>
        </w:tc>
        <w:tc>
          <w:tcPr>
            <w:tcW w:w="5956" w:type="dxa"/>
            <w:vAlign w:val="center"/>
          </w:tcPr>
          <w:p>
            <w:pPr>
              <w:autoSpaceDE w:val="0"/>
              <w:autoSpaceDN w:val="0"/>
              <w:snapToGrid w:val="0"/>
              <w:spacing w:line="276" w:lineRule="auto"/>
              <w:rPr>
                <w:rFonts w:cs="宋体"/>
                <w:color w:val="auto"/>
              </w:rPr>
            </w:pPr>
            <w:r>
              <w:rPr>
                <w:rFonts w:hint="eastAsia" w:cs="宋体"/>
                <w:color w:val="auto"/>
              </w:rPr>
              <w:t>公告媒介：天津市公共资源交易网（http://60.28.163.169/）</w:t>
            </w:r>
            <w:r>
              <w:rPr>
                <w:rFonts w:hint="eastAsia" w:cs="宋体"/>
                <w:color w:val="auto"/>
                <w:kern w:val="0"/>
              </w:rPr>
              <w:t>、天津市滨海新区交通运输局官网（（http://jtysj.tjbh.gov.cn/）</w:t>
            </w:r>
          </w:p>
          <w:p>
            <w:pPr>
              <w:autoSpaceDE w:val="0"/>
              <w:autoSpaceDN w:val="0"/>
              <w:snapToGrid w:val="0"/>
              <w:spacing w:line="276" w:lineRule="auto"/>
              <w:rPr>
                <w:rFonts w:cs="Times New Roman"/>
                <w:color w:val="auto"/>
              </w:rPr>
            </w:pPr>
            <w:r>
              <w:rPr>
                <w:rFonts w:hint="eastAsia" w:cs="宋体"/>
                <w:color w:val="auto"/>
              </w:rPr>
              <w:t>公告期限：</w:t>
            </w:r>
            <w:r>
              <w:rPr>
                <w:color w:val="auto"/>
                <w:u w:val="single"/>
              </w:rPr>
              <w:t xml:space="preserve">  3  </w:t>
            </w:r>
            <w:r>
              <w:rPr>
                <w:rFonts w:hint="eastAsia" w:cs="宋体"/>
                <w:color w:val="auto"/>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7" w:hRule="atLeast"/>
          <w:jc w:val="center"/>
        </w:trPr>
        <w:tc>
          <w:tcPr>
            <w:tcW w:w="1038" w:type="dxa"/>
            <w:vAlign w:val="center"/>
          </w:tcPr>
          <w:p>
            <w:pPr>
              <w:autoSpaceDE w:val="0"/>
              <w:autoSpaceDN w:val="0"/>
              <w:snapToGrid w:val="0"/>
              <w:jc w:val="center"/>
              <w:rPr>
                <w:color w:val="auto"/>
                <w:kern w:val="0"/>
              </w:rPr>
            </w:pPr>
            <w:r>
              <w:rPr>
                <w:color w:val="auto"/>
                <w:kern w:val="0"/>
              </w:rPr>
              <w:t>7.7</w:t>
            </w:r>
          </w:p>
        </w:tc>
        <w:tc>
          <w:tcPr>
            <w:tcW w:w="2833" w:type="dxa"/>
            <w:vAlign w:val="center"/>
          </w:tcPr>
          <w:p>
            <w:pPr>
              <w:autoSpaceDE w:val="0"/>
              <w:autoSpaceDN w:val="0"/>
              <w:snapToGrid w:val="0"/>
              <w:jc w:val="center"/>
              <w:rPr>
                <w:rFonts w:cs="Times New Roman"/>
                <w:color w:val="auto"/>
                <w:kern w:val="0"/>
              </w:rPr>
            </w:pPr>
            <w:r>
              <w:rPr>
                <w:rFonts w:hint="eastAsia" w:cs="宋体"/>
                <w:color w:val="auto"/>
                <w:kern w:val="0"/>
              </w:rPr>
              <w:t>技术成果经济补偿</w:t>
            </w:r>
          </w:p>
        </w:tc>
        <w:tc>
          <w:tcPr>
            <w:tcW w:w="5956" w:type="dxa"/>
            <w:vAlign w:val="center"/>
          </w:tcPr>
          <w:p>
            <w:pPr>
              <w:autoSpaceDE w:val="0"/>
              <w:autoSpaceDN w:val="0"/>
              <w:snapToGrid w:val="0"/>
              <w:spacing w:line="276" w:lineRule="auto"/>
              <w:rPr>
                <w:rFonts w:cs="Times New Roman"/>
                <w:color w:val="auto"/>
              </w:rPr>
            </w:pPr>
            <w:r>
              <w:rPr>
                <w:rFonts w:cs="Times New Roman"/>
                <w:color w:val="auto"/>
                <w:kern w:val="0"/>
                <w:szCs w:val="20"/>
              </w:rPr>
              <w:sym w:font="Wingdings" w:char="F0FE"/>
            </w:r>
            <w:r>
              <w:rPr>
                <w:rFonts w:hint="eastAsia" w:cs="宋体"/>
                <w:color w:val="auto"/>
                <w:kern w:val="0"/>
              </w:rPr>
              <w:t>不补偿</w:t>
            </w:r>
          </w:p>
          <w:p>
            <w:pPr>
              <w:autoSpaceDE w:val="0"/>
              <w:autoSpaceDN w:val="0"/>
              <w:snapToGrid w:val="0"/>
              <w:spacing w:line="276" w:lineRule="auto"/>
              <w:rPr>
                <w:rFonts w:cs="Times New Roman"/>
                <w:color w:val="auto"/>
              </w:rPr>
            </w:pPr>
            <w:r>
              <w:rPr>
                <w:color w:val="auto"/>
                <w:kern w:val="0"/>
              </w:rPr>
              <w:t>□</w:t>
            </w:r>
            <w:r>
              <w:rPr>
                <w:rFonts w:hint="eastAsia" w:cs="宋体"/>
                <w:color w:val="auto"/>
                <w:kern w:val="0"/>
              </w:rPr>
              <w:t>补偿，补偿标准：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94" w:hRule="atLeast"/>
          <w:jc w:val="center"/>
        </w:trPr>
        <w:tc>
          <w:tcPr>
            <w:tcW w:w="1038" w:type="dxa"/>
            <w:vAlign w:val="center"/>
          </w:tcPr>
          <w:p>
            <w:pPr>
              <w:autoSpaceDE w:val="0"/>
              <w:autoSpaceDN w:val="0"/>
              <w:snapToGrid w:val="0"/>
              <w:jc w:val="center"/>
              <w:rPr>
                <w:color w:val="auto"/>
                <w:kern w:val="0"/>
              </w:rPr>
            </w:pPr>
            <w:r>
              <w:rPr>
                <w:color w:val="auto"/>
                <w:kern w:val="0"/>
              </w:rPr>
              <w:t>7.8.1</w:t>
            </w:r>
          </w:p>
        </w:tc>
        <w:tc>
          <w:tcPr>
            <w:tcW w:w="2833" w:type="dxa"/>
            <w:vAlign w:val="center"/>
          </w:tcPr>
          <w:p>
            <w:pPr>
              <w:autoSpaceDE w:val="0"/>
              <w:autoSpaceDN w:val="0"/>
              <w:snapToGrid w:val="0"/>
              <w:jc w:val="center"/>
              <w:rPr>
                <w:rFonts w:cs="Times New Roman"/>
                <w:color w:val="auto"/>
                <w:kern w:val="0"/>
              </w:rPr>
            </w:pPr>
            <w:r>
              <w:rPr>
                <w:rFonts w:hint="eastAsia" w:cs="宋体"/>
                <w:color w:val="auto"/>
                <w:kern w:val="0"/>
              </w:rPr>
              <w:t>履约保证金</w:t>
            </w:r>
          </w:p>
        </w:tc>
        <w:tc>
          <w:tcPr>
            <w:tcW w:w="5956" w:type="dxa"/>
            <w:vAlign w:val="center"/>
          </w:tcPr>
          <w:p>
            <w:pPr>
              <w:autoSpaceDE w:val="0"/>
              <w:autoSpaceDN w:val="0"/>
              <w:snapToGrid w:val="0"/>
              <w:spacing w:line="360" w:lineRule="auto"/>
              <w:rPr>
                <w:rFonts w:cs="Times New Roman"/>
                <w:color w:val="auto"/>
              </w:rPr>
            </w:pPr>
            <w:r>
              <w:rPr>
                <w:rFonts w:hint="eastAsia" w:cs="宋体"/>
                <w:color w:val="auto"/>
                <w:kern w:val="0"/>
              </w:rPr>
              <w:t>是否要求中标人提交履约保证金：</w:t>
            </w:r>
          </w:p>
          <w:p>
            <w:pPr>
              <w:snapToGrid w:val="0"/>
              <w:spacing w:line="360" w:lineRule="auto"/>
              <w:rPr>
                <w:rFonts w:cs="Times New Roman"/>
                <w:color w:val="auto"/>
              </w:rPr>
            </w:pPr>
            <w:r>
              <w:rPr>
                <w:rFonts w:hint="eastAsia" w:cs="宋体"/>
                <w:color w:val="auto"/>
              </w:rPr>
              <w:t>□要求，履约保证金的形式：银行保函或现金、支票形式</w:t>
            </w:r>
          </w:p>
          <w:p>
            <w:pPr>
              <w:spacing w:line="360" w:lineRule="auto"/>
              <w:rPr>
                <w:rFonts w:cs="Times New Roman"/>
                <w:color w:val="auto"/>
              </w:rPr>
            </w:pPr>
            <w:r>
              <w:rPr>
                <w:rFonts w:hint="eastAsia" w:cs="宋体"/>
                <w:color w:val="auto"/>
              </w:rPr>
              <w:t>履约保证金的金额：</w:t>
            </w:r>
            <w:r>
              <w:rPr>
                <w:color w:val="auto"/>
                <w:u w:val="single"/>
              </w:rPr>
              <w:t xml:space="preserve">/ </w:t>
            </w:r>
            <w:r>
              <w:rPr>
                <w:color w:val="auto"/>
              </w:rPr>
              <w:t>%</w:t>
            </w:r>
            <w:r>
              <w:rPr>
                <w:rFonts w:hint="eastAsia" w:cs="宋体"/>
                <w:color w:val="auto"/>
              </w:rPr>
              <w:t>签约合同价，被招标项目所在地省级交通主管部门评为</w:t>
            </w:r>
            <w:r>
              <w:rPr>
                <w:color w:val="auto"/>
                <w:u w:val="single"/>
              </w:rPr>
              <w:t xml:space="preserve"> / </w:t>
            </w:r>
            <w:r>
              <w:rPr>
                <w:rFonts w:hint="eastAsia" w:cs="宋体"/>
                <w:color w:val="auto"/>
              </w:rPr>
              <w:t>信用等级的中标人，履约保证金金额为</w:t>
            </w:r>
            <w:r>
              <w:rPr>
                <w:color w:val="auto"/>
                <w:u w:val="single"/>
              </w:rPr>
              <w:t xml:space="preserve"> / </w:t>
            </w:r>
            <w:r>
              <w:rPr>
                <w:color w:val="auto"/>
              </w:rPr>
              <w:t>%</w:t>
            </w:r>
            <w:r>
              <w:rPr>
                <w:rFonts w:hint="eastAsia" w:cs="宋体"/>
                <w:color w:val="auto"/>
              </w:rPr>
              <w:t>签约合同价。</w:t>
            </w:r>
          </w:p>
          <w:p>
            <w:pPr>
              <w:spacing w:line="360" w:lineRule="auto"/>
              <w:rPr>
                <w:rFonts w:cs="Times New Roman"/>
                <w:color w:val="auto"/>
              </w:rPr>
            </w:pPr>
            <w:r>
              <w:rPr>
                <w:rFonts w:hint="eastAsia" w:cs="宋体"/>
                <w:color w:val="auto"/>
              </w:rPr>
              <w:t>采用银行保函时，出具保函的的银行级别：</w:t>
            </w:r>
            <w:r>
              <w:rPr>
                <w:rFonts w:hint="eastAsia" w:cs="宋体"/>
                <w:color w:val="auto"/>
                <w:u w:val="single"/>
              </w:rPr>
              <w:t>支行及以上</w:t>
            </w:r>
          </w:p>
          <w:p>
            <w:pPr>
              <w:autoSpaceDE w:val="0"/>
              <w:autoSpaceDN w:val="0"/>
              <w:snapToGrid w:val="0"/>
              <w:spacing w:line="360" w:lineRule="auto"/>
              <w:rPr>
                <w:rFonts w:cs="Times New Roman"/>
                <w:color w:val="auto"/>
              </w:rPr>
            </w:pPr>
            <w:r>
              <w:rPr>
                <w:rFonts w:cs="Times New Roman"/>
                <w:color w:val="auto"/>
                <w:kern w:val="0"/>
                <w:szCs w:val="20"/>
              </w:rPr>
              <w:sym w:font="Wingdings" w:char="F0FE"/>
            </w:r>
            <w:r>
              <w:rPr>
                <w:rFonts w:hint="eastAsia" w:cs="宋体"/>
                <w:color w:val="auto"/>
              </w:rPr>
              <w:t>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99" w:hRule="atLeast"/>
          <w:jc w:val="center"/>
        </w:trPr>
        <w:tc>
          <w:tcPr>
            <w:tcW w:w="1038" w:type="dxa"/>
            <w:tcBorders>
              <w:bottom w:val="single" w:color="auto" w:sz="12" w:space="0"/>
            </w:tcBorders>
            <w:vAlign w:val="center"/>
          </w:tcPr>
          <w:p>
            <w:pPr>
              <w:adjustRightInd w:val="0"/>
              <w:snapToGrid w:val="0"/>
              <w:spacing w:line="280" w:lineRule="exact"/>
              <w:jc w:val="center"/>
              <w:rPr>
                <w:rFonts w:cs="Times New Roman"/>
                <w:color w:val="auto"/>
                <w:kern w:val="0"/>
              </w:rPr>
            </w:pPr>
            <w:r>
              <w:rPr>
                <w:color w:val="auto"/>
              </w:rPr>
              <w:t>8.5.1</w:t>
            </w:r>
          </w:p>
        </w:tc>
        <w:tc>
          <w:tcPr>
            <w:tcW w:w="2833" w:type="dxa"/>
            <w:tcBorders>
              <w:bottom w:val="single" w:color="auto" w:sz="12" w:space="0"/>
            </w:tcBorders>
            <w:vAlign w:val="center"/>
          </w:tcPr>
          <w:p>
            <w:pPr>
              <w:adjustRightInd w:val="0"/>
              <w:snapToGrid w:val="0"/>
              <w:spacing w:line="280" w:lineRule="exact"/>
              <w:ind w:right="482"/>
              <w:jc w:val="center"/>
              <w:rPr>
                <w:rFonts w:cs="Times New Roman"/>
                <w:color w:val="auto"/>
                <w:kern w:val="0"/>
              </w:rPr>
            </w:pPr>
            <w:r>
              <w:rPr>
                <w:rFonts w:hint="eastAsia" w:cs="宋体"/>
                <w:color w:val="auto"/>
              </w:rPr>
              <w:t>监督部门</w:t>
            </w:r>
          </w:p>
        </w:tc>
        <w:tc>
          <w:tcPr>
            <w:tcW w:w="5956" w:type="dxa"/>
            <w:tcBorders>
              <w:bottom w:val="single" w:color="auto" w:sz="12" w:space="0"/>
            </w:tcBorders>
            <w:vAlign w:val="center"/>
          </w:tcPr>
          <w:p>
            <w:pPr>
              <w:adjustRightInd w:val="0"/>
              <w:snapToGrid w:val="0"/>
              <w:ind w:left="55" w:hanging="54" w:hangingChars="26"/>
              <w:rPr>
                <w:rFonts w:cs="Times New Roman"/>
                <w:color w:val="auto"/>
              </w:rPr>
            </w:pPr>
            <w:r>
              <w:rPr>
                <w:rFonts w:hint="eastAsia" w:cs="宋体"/>
                <w:color w:val="auto"/>
              </w:rPr>
              <w:t>监督部门：</w:t>
            </w:r>
            <w:r>
              <w:rPr>
                <w:rFonts w:hint="eastAsia" w:cs="宋体"/>
                <w:bCs/>
                <w:color w:val="auto"/>
              </w:rPr>
              <w:t>天津市滨海新区交通运输局</w:t>
            </w:r>
            <w:r>
              <w:rPr>
                <w:rFonts w:hint="eastAsia" w:cs="宋体"/>
                <w:color w:val="auto"/>
              </w:rPr>
              <w:t>；</w:t>
            </w:r>
          </w:p>
          <w:p>
            <w:pPr>
              <w:adjustRightInd w:val="0"/>
              <w:snapToGrid w:val="0"/>
              <w:ind w:left="55" w:hanging="54" w:hangingChars="26"/>
              <w:rPr>
                <w:rFonts w:cs="Times New Roman"/>
                <w:color w:val="auto"/>
              </w:rPr>
            </w:pPr>
            <w:r>
              <w:rPr>
                <w:rFonts w:hint="eastAsia" w:cs="宋体"/>
                <w:color w:val="auto"/>
              </w:rPr>
              <w:t>地址：</w:t>
            </w:r>
            <w:r>
              <w:rPr>
                <w:rFonts w:cs="宋体"/>
                <w:color w:val="auto"/>
              </w:rPr>
              <w:t>天津市滨海新区大连东道1060号</w:t>
            </w:r>
            <w:r>
              <w:rPr>
                <w:rFonts w:hint="eastAsia" w:cs="宋体"/>
                <w:color w:val="auto"/>
              </w:rPr>
              <w:t>；</w:t>
            </w:r>
          </w:p>
          <w:p>
            <w:pPr>
              <w:adjustRightInd w:val="0"/>
              <w:snapToGrid w:val="0"/>
              <w:ind w:left="55" w:hanging="54" w:hangingChars="26"/>
              <w:rPr>
                <w:color w:val="auto"/>
              </w:rPr>
            </w:pPr>
            <w:r>
              <w:rPr>
                <w:rFonts w:hint="eastAsia" w:cs="宋体"/>
                <w:color w:val="auto"/>
              </w:rPr>
              <w:t>电话：</w:t>
            </w:r>
            <w:r>
              <w:rPr>
                <w:color w:val="auto"/>
              </w:rPr>
              <w:t>022-</w:t>
            </w:r>
            <w:r>
              <w:rPr>
                <w:rFonts w:hint="eastAsia"/>
                <w:color w:val="auto"/>
              </w:rPr>
              <w:t>65369591</w:t>
            </w:r>
          </w:p>
          <w:p>
            <w:pPr>
              <w:adjustRightInd w:val="0"/>
              <w:snapToGrid w:val="0"/>
              <w:ind w:left="55" w:hanging="54" w:hangingChars="26"/>
              <w:rPr>
                <w:color w:val="auto"/>
              </w:rPr>
            </w:pPr>
            <w:r>
              <w:rPr>
                <w:rFonts w:hint="eastAsia" w:cs="宋体"/>
                <w:color w:val="auto"/>
              </w:rPr>
              <w:t>传真：</w:t>
            </w:r>
            <w:r>
              <w:rPr>
                <w:color w:val="auto"/>
              </w:rPr>
              <w:t>022-</w:t>
            </w:r>
            <w:r>
              <w:rPr>
                <w:rFonts w:hint="eastAsia"/>
                <w:color w:val="auto"/>
              </w:rPr>
              <w:t>65369591</w:t>
            </w:r>
          </w:p>
          <w:p>
            <w:pPr>
              <w:autoSpaceDE w:val="0"/>
              <w:autoSpaceDN w:val="0"/>
              <w:adjustRightInd w:val="0"/>
              <w:snapToGrid w:val="0"/>
              <w:rPr>
                <w:rFonts w:cs="Times New Roman"/>
                <w:color w:val="auto"/>
              </w:rPr>
            </w:pPr>
            <w:r>
              <w:rPr>
                <w:rFonts w:hint="eastAsia" w:cs="宋体"/>
                <w:color w:val="auto"/>
              </w:rPr>
              <w:t>邮政编码：</w:t>
            </w:r>
            <w:r>
              <w:rPr>
                <w:rFonts w:hint="eastAsia"/>
                <w:color w:val="auto"/>
              </w:rPr>
              <w:t>300457</w:t>
            </w:r>
          </w:p>
        </w:tc>
      </w:tr>
    </w:tbl>
    <w:p>
      <w:pPr>
        <w:autoSpaceDE w:val="0"/>
        <w:autoSpaceDN w:val="0"/>
        <w:adjustRightInd w:val="0"/>
        <w:jc w:val="right"/>
        <w:rPr>
          <w:rFonts w:cs="Times New Roman"/>
          <w:color w:val="auto"/>
          <w:kern w:val="0"/>
        </w:rPr>
      </w:pPr>
      <w:r>
        <w:rPr>
          <w:rFonts w:cs="Times New Roman"/>
          <w:color w:val="auto"/>
          <w:kern w:val="0"/>
        </w:rPr>
        <w:br w:type="page"/>
      </w:r>
      <w:r>
        <w:rPr>
          <w:rFonts w:hint="eastAsia" w:cs="宋体"/>
          <w:color w:val="auto"/>
          <w:kern w:val="0"/>
        </w:rPr>
        <w:t>续上表</w:t>
      </w:r>
    </w:p>
    <w:tbl>
      <w:tblPr>
        <w:tblStyle w:val="20"/>
        <w:tblW w:w="982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24"/>
        <w:gridCol w:w="2562"/>
        <w:gridCol w:w="624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8" w:hRule="atLeast"/>
          <w:jc w:val="center"/>
        </w:trPr>
        <w:tc>
          <w:tcPr>
            <w:tcW w:w="1024" w:type="dxa"/>
            <w:tcBorders>
              <w:top w:val="single" w:color="auto" w:sz="12" w:space="0"/>
            </w:tcBorders>
            <w:vAlign w:val="center"/>
          </w:tcPr>
          <w:p>
            <w:pPr>
              <w:autoSpaceDE w:val="0"/>
              <w:autoSpaceDN w:val="0"/>
              <w:adjustRightInd w:val="0"/>
              <w:snapToGrid w:val="0"/>
              <w:ind w:left="-92" w:leftChars="-44" w:right="-107" w:rightChars="-51"/>
              <w:jc w:val="center"/>
              <w:rPr>
                <w:rFonts w:cs="Times New Roman"/>
                <w:b/>
                <w:bCs/>
                <w:color w:val="auto"/>
                <w:kern w:val="0"/>
              </w:rPr>
            </w:pPr>
            <w:r>
              <w:rPr>
                <w:rFonts w:hint="eastAsia" w:cs="宋体"/>
                <w:b/>
                <w:bCs/>
                <w:color w:val="auto"/>
                <w:kern w:val="0"/>
              </w:rPr>
              <w:t>条款号</w:t>
            </w:r>
          </w:p>
        </w:tc>
        <w:tc>
          <w:tcPr>
            <w:tcW w:w="2562" w:type="dxa"/>
            <w:tcBorders>
              <w:top w:val="single" w:color="auto" w:sz="12" w:space="0"/>
            </w:tcBorders>
            <w:vAlign w:val="center"/>
          </w:tcPr>
          <w:p>
            <w:pPr>
              <w:autoSpaceDE w:val="0"/>
              <w:autoSpaceDN w:val="0"/>
              <w:adjustRightInd w:val="0"/>
              <w:snapToGrid w:val="0"/>
              <w:jc w:val="center"/>
              <w:rPr>
                <w:rFonts w:cs="Times New Roman"/>
                <w:b/>
                <w:bCs/>
                <w:color w:val="auto"/>
                <w:kern w:val="0"/>
              </w:rPr>
            </w:pPr>
            <w:r>
              <w:rPr>
                <w:rFonts w:hint="eastAsia" w:cs="宋体"/>
                <w:b/>
                <w:bCs/>
                <w:color w:val="auto"/>
                <w:kern w:val="0"/>
              </w:rPr>
              <w:t>条款名称</w:t>
            </w:r>
          </w:p>
        </w:tc>
        <w:tc>
          <w:tcPr>
            <w:tcW w:w="6241" w:type="dxa"/>
            <w:tcBorders>
              <w:top w:val="single" w:color="auto" w:sz="12" w:space="0"/>
            </w:tcBorders>
            <w:vAlign w:val="center"/>
          </w:tcPr>
          <w:p>
            <w:pPr>
              <w:autoSpaceDE w:val="0"/>
              <w:autoSpaceDN w:val="0"/>
              <w:adjustRightInd w:val="0"/>
              <w:snapToGrid w:val="0"/>
              <w:jc w:val="center"/>
              <w:rPr>
                <w:rFonts w:cs="Times New Roman"/>
                <w:b/>
                <w:bCs/>
                <w:color w:val="auto"/>
                <w:kern w:val="0"/>
              </w:rPr>
            </w:pPr>
            <w:r>
              <w:rPr>
                <w:rFonts w:hint="eastAsia" w:cs="宋体"/>
                <w:b/>
                <w:bCs/>
                <w:color w:val="auto"/>
                <w:kern w:val="0"/>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024" w:type="dxa"/>
            <w:vAlign w:val="center"/>
          </w:tcPr>
          <w:p>
            <w:pPr>
              <w:snapToGrid w:val="0"/>
              <w:spacing w:line="312" w:lineRule="auto"/>
              <w:jc w:val="center"/>
              <w:rPr>
                <w:color w:val="auto"/>
              </w:rPr>
            </w:pPr>
            <w:r>
              <w:rPr>
                <w:color w:val="auto"/>
              </w:rPr>
              <w:t>9</w:t>
            </w:r>
          </w:p>
        </w:tc>
        <w:tc>
          <w:tcPr>
            <w:tcW w:w="2562" w:type="dxa"/>
            <w:vAlign w:val="center"/>
          </w:tcPr>
          <w:p>
            <w:pPr>
              <w:snapToGrid w:val="0"/>
              <w:spacing w:line="240" w:lineRule="exact"/>
              <w:jc w:val="center"/>
              <w:rPr>
                <w:rFonts w:cs="Times New Roman"/>
                <w:color w:val="auto"/>
              </w:rPr>
            </w:pPr>
            <w:r>
              <w:rPr>
                <w:rFonts w:hint="eastAsia" w:cs="宋体"/>
                <w:color w:val="auto"/>
              </w:rPr>
              <w:t>是否采用电子招标投标</w:t>
            </w:r>
          </w:p>
        </w:tc>
        <w:tc>
          <w:tcPr>
            <w:tcW w:w="6241" w:type="dxa"/>
            <w:vAlign w:val="center"/>
          </w:tcPr>
          <w:p>
            <w:pPr>
              <w:snapToGrid w:val="0"/>
              <w:spacing w:line="240" w:lineRule="exact"/>
              <w:rPr>
                <w:rFonts w:cs="Times New Roman"/>
                <w:color w:val="auto"/>
                <w:kern w:val="0"/>
              </w:rPr>
            </w:pPr>
            <w:r>
              <w:rPr>
                <w:rFonts w:cs="Times New Roman"/>
                <w:color w:val="auto"/>
                <w:kern w:val="0"/>
                <w:szCs w:val="20"/>
              </w:rPr>
              <w:sym w:font="Wingdings" w:char="F0FE"/>
            </w:r>
            <w:r>
              <w:rPr>
                <w:rFonts w:hint="eastAsia" w:cs="宋体"/>
                <w:color w:val="auto"/>
                <w:kern w:val="0"/>
              </w:rPr>
              <w:t>否</w:t>
            </w:r>
          </w:p>
          <w:p>
            <w:pPr>
              <w:snapToGrid w:val="0"/>
              <w:spacing w:line="240" w:lineRule="exact"/>
              <w:rPr>
                <w:rFonts w:cs="Times New Roman"/>
                <w:color w:val="auto"/>
                <w:kern w:val="0"/>
              </w:rPr>
            </w:pPr>
            <w:r>
              <w:rPr>
                <w:color w:val="auto"/>
                <w:kern w:val="0"/>
              </w:rPr>
              <w:t>□</w:t>
            </w:r>
            <w:r>
              <w:rPr>
                <w:rFonts w:hint="eastAsia" w:cs="宋体"/>
                <w:color w:val="auto"/>
                <w:kern w:val="0"/>
              </w:rPr>
              <w:t>是</w:t>
            </w:r>
            <w:r>
              <w:rPr>
                <w:color w:val="auto"/>
                <w:kern w:val="0"/>
              </w:rPr>
              <w:t>,</w:t>
            </w:r>
            <w:r>
              <w:rPr>
                <w:rFonts w:hint="eastAsia" w:cs="宋体"/>
                <w:color w:val="auto"/>
                <w:kern w:val="0"/>
              </w:rPr>
              <w:t>具体要求：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jc w:val="center"/>
        </w:trPr>
        <w:tc>
          <w:tcPr>
            <w:tcW w:w="9827" w:type="dxa"/>
            <w:gridSpan w:val="3"/>
            <w:vAlign w:val="center"/>
          </w:tcPr>
          <w:p>
            <w:pPr>
              <w:snapToGrid w:val="0"/>
              <w:spacing w:line="240" w:lineRule="exact"/>
              <w:rPr>
                <w:rFonts w:cs="Times New Roman"/>
                <w:color w:val="auto"/>
                <w:kern w:val="0"/>
              </w:rPr>
            </w:pPr>
            <w:r>
              <w:rPr>
                <w:rFonts w:hint="eastAsia" w:cs="宋体"/>
                <w:b/>
                <w:bCs/>
                <w:color w:val="auto"/>
              </w:rPr>
              <w:t>需要补充的其他内容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18" w:hRule="atLeast"/>
          <w:jc w:val="center"/>
        </w:trPr>
        <w:tc>
          <w:tcPr>
            <w:tcW w:w="1024" w:type="dxa"/>
            <w:vAlign w:val="center"/>
          </w:tcPr>
          <w:p>
            <w:pPr>
              <w:adjustRightInd w:val="0"/>
              <w:snapToGrid w:val="0"/>
              <w:spacing w:line="280" w:lineRule="exact"/>
              <w:jc w:val="center"/>
              <w:rPr>
                <w:color w:val="auto"/>
                <w:kern w:val="0"/>
              </w:rPr>
            </w:pPr>
            <w:r>
              <w:rPr>
                <w:color w:val="auto"/>
                <w:kern w:val="0"/>
              </w:rPr>
              <w:t>1.4.4</w:t>
            </w:r>
          </w:p>
        </w:tc>
        <w:tc>
          <w:tcPr>
            <w:tcW w:w="2562" w:type="dxa"/>
            <w:vAlign w:val="center"/>
          </w:tcPr>
          <w:p>
            <w:pPr>
              <w:adjustRightInd w:val="0"/>
              <w:snapToGrid w:val="0"/>
              <w:spacing w:line="300" w:lineRule="exact"/>
              <w:jc w:val="center"/>
              <w:rPr>
                <w:rFonts w:cs="Times New Roman"/>
                <w:color w:val="auto"/>
                <w:kern w:val="0"/>
              </w:rPr>
            </w:pPr>
            <w:r>
              <w:rPr>
                <w:rFonts w:hint="eastAsia" w:cs="宋体"/>
                <w:color w:val="auto"/>
                <w:kern w:val="0"/>
              </w:rPr>
              <w:t>第</w:t>
            </w:r>
            <w:r>
              <w:rPr>
                <w:color w:val="auto"/>
                <w:kern w:val="0"/>
              </w:rPr>
              <w:t>1.4.4</w:t>
            </w:r>
            <w:r>
              <w:rPr>
                <w:rFonts w:hint="eastAsia" w:cs="宋体"/>
                <w:color w:val="auto"/>
                <w:kern w:val="0"/>
              </w:rPr>
              <w:t>项修改</w:t>
            </w:r>
          </w:p>
        </w:tc>
        <w:tc>
          <w:tcPr>
            <w:tcW w:w="6241" w:type="dxa"/>
            <w:vAlign w:val="center"/>
          </w:tcPr>
          <w:p>
            <w:pPr>
              <w:adjustRightInd w:val="0"/>
              <w:snapToGrid w:val="0"/>
              <w:spacing w:line="240" w:lineRule="exact"/>
              <w:ind w:left="57" w:leftChars="27" w:firstLine="220" w:firstLineChars="105"/>
              <w:jc w:val="left"/>
              <w:rPr>
                <w:rFonts w:cs="Times New Roman"/>
                <w:color w:val="auto"/>
              </w:rPr>
            </w:pPr>
            <w:r>
              <w:rPr>
                <w:rFonts w:hint="eastAsia" w:cs="宋体"/>
                <w:color w:val="auto"/>
              </w:rPr>
              <w:t>删除（</w:t>
            </w:r>
            <w:r>
              <w:rPr>
                <w:color w:val="auto"/>
              </w:rPr>
              <w:t>6</w:t>
            </w:r>
            <w:r>
              <w:rPr>
                <w:rFonts w:hint="eastAsia" w:cs="宋体"/>
                <w:color w:val="auto"/>
              </w:rPr>
              <w:t>）“行贿犯罪行为的认定以检察机关职务犯罪预防部门出具的查询结果为准”内容</w:t>
            </w:r>
          </w:p>
          <w:p>
            <w:pPr>
              <w:wordWrap w:val="0"/>
              <w:adjustRightInd w:val="0"/>
              <w:snapToGrid w:val="0"/>
              <w:spacing w:line="240" w:lineRule="exact"/>
              <w:ind w:left="57" w:leftChars="27" w:firstLine="220" w:firstLineChars="105"/>
              <w:rPr>
                <w:rFonts w:cs="Times New Roman"/>
                <w:color w:val="auto"/>
                <w:kern w:val="0"/>
              </w:rPr>
            </w:pPr>
            <w:r>
              <w:rPr>
                <w:rFonts w:hint="eastAsia" w:cs="宋体"/>
                <w:color w:val="auto"/>
                <w:kern w:val="0"/>
              </w:rPr>
              <w:t>增加以下内容：</w:t>
            </w:r>
          </w:p>
          <w:p>
            <w:pPr>
              <w:adjustRightInd w:val="0"/>
              <w:snapToGrid w:val="0"/>
              <w:spacing w:line="240" w:lineRule="exact"/>
              <w:ind w:left="57" w:leftChars="27" w:firstLine="220" w:firstLineChars="105"/>
              <w:jc w:val="left"/>
              <w:rPr>
                <w:rFonts w:cs="Times New Roman"/>
                <w:color w:val="auto"/>
              </w:rPr>
            </w:pPr>
            <w:r>
              <w:rPr>
                <w:rFonts w:hint="eastAsia" w:cs="宋体"/>
                <w:color w:val="auto"/>
                <w:kern w:val="0"/>
              </w:rPr>
              <w:t>（</w:t>
            </w:r>
            <w:r>
              <w:rPr>
                <w:color w:val="auto"/>
                <w:kern w:val="0"/>
              </w:rPr>
              <w:t>8</w:t>
            </w:r>
            <w:r>
              <w:rPr>
                <w:rFonts w:hint="eastAsia" w:cs="宋体"/>
                <w:color w:val="auto"/>
                <w:kern w:val="0"/>
              </w:rPr>
              <w:t>）在国家企业信用信息公示系统</w:t>
            </w:r>
            <w:r>
              <w:rPr>
                <w:rFonts w:hint="eastAsia" w:cs="宋体"/>
                <w:color w:val="auto"/>
              </w:rPr>
              <w:t>（</w:t>
            </w:r>
            <w:r>
              <w:rPr>
                <w:color w:val="auto"/>
              </w:rPr>
              <w:t>http://www.gsxt.gov.cn/</w:t>
            </w:r>
            <w:r>
              <w:rPr>
                <w:rFonts w:hint="eastAsia" w:cs="宋体"/>
                <w:color w:val="auto"/>
              </w:rPr>
              <w:t>）中经营异常。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18" w:hRule="atLeast"/>
          <w:jc w:val="center"/>
        </w:trPr>
        <w:tc>
          <w:tcPr>
            <w:tcW w:w="1024" w:type="dxa"/>
            <w:vAlign w:val="center"/>
          </w:tcPr>
          <w:p>
            <w:pPr>
              <w:adjustRightInd w:val="0"/>
              <w:snapToGrid w:val="0"/>
              <w:spacing w:line="280" w:lineRule="exact"/>
              <w:jc w:val="center"/>
              <w:rPr>
                <w:color w:val="auto"/>
                <w:kern w:val="0"/>
              </w:rPr>
            </w:pPr>
            <w:r>
              <w:rPr>
                <w:rFonts w:hint="eastAsia"/>
                <w:color w:val="auto"/>
                <w:kern w:val="0"/>
              </w:rPr>
              <w:t>1.4.5</w:t>
            </w:r>
          </w:p>
        </w:tc>
        <w:tc>
          <w:tcPr>
            <w:tcW w:w="2562" w:type="dxa"/>
            <w:vAlign w:val="center"/>
          </w:tcPr>
          <w:p>
            <w:pPr>
              <w:adjustRightInd w:val="0"/>
              <w:snapToGrid w:val="0"/>
              <w:spacing w:line="300" w:lineRule="exact"/>
              <w:jc w:val="center"/>
              <w:rPr>
                <w:rFonts w:cs="宋体"/>
                <w:color w:val="auto"/>
                <w:kern w:val="0"/>
              </w:rPr>
            </w:pPr>
            <w:r>
              <w:rPr>
                <w:rFonts w:hint="eastAsia" w:cs="宋体"/>
                <w:color w:val="auto"/>
                <w:kern w:val="0"/>
              </w:rPr>
              <w:t>第</w:t>
            </w:r>
            <w:r>
              <w:rPr>
                <w:color w:val="auto"/>
                <w:kern w:val="0"/>
              </w:rPr>
              <w:t>1.4.</w:t>
            </w:r>
            <w:r>
              <w:rPr>
                <w:rFonts w:hint="eastAsia"/>
                <w:color w:val="auto"/>
                <w:kern w:val="0"/>
              </w:rPr>
              <w:t>5</w:t>
            </w:r>
            <w:r>
              <w:rPr>
                <w:rFonts w:hint="eastAsia" w:cs="宋体"/>
                <w:color w:val="auto"/>
                <w:kern w:val="0"/>
              </w:rPr>
              <w:t>项修改</w:t>
            </w:r>
          </w:p>
        </w:tc>
        <w:tc>
          <w:tcPr>
            <w:tcW w:w="6241" w:type="dxa"/>
            <w:vAlign w:val="center"/>
          </w:tcPr>
          <w:p>
            <w:pPr>
              <w:adjustRightInd w:val="0"/>
              <w:snapToGrid w:val="0"/>
              <w:spacing w:line="240" w:lineRule="exact"/>
              <w:ind w:left="57" w:leftChars="27" w:firstLine="220" w:firstLineChars="105"/>
              <w:jc w:val="left"/>
              <w:rPr>
                <w:rFonts w:cs="宋体"/>
                <w:color w:val="auto"/>
                <w:kern w:val="0"/>
              </w:rPr>
            </w:pPr>
            <w:r>
              <w:rPr>
                <w:rFonts w:hint="eastAsia" w:cs="宋体"/>
                <w:color w:val="auto"/>
              </w:rPr>
              <w:t>删除1.4.5 投标人（包括联合体各成员）应进入交通运输部“全国公路建设市场信用信息管理系统（http://glxy.mot.gov.cn/）”中的公路工程设计资质企业名录，且投标人名称和资质与该名录中的相应企业名称和资质完全一致。投标人不满足本项目规定条件的，将被否决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0" w:hRule="atLeast"/>
          <w:jc w:val="center"/>
        </w:trPr>
        <w:tc>
          <w:tcPr>
            <w:tcW w:w="1024" w:type="dxa"/>
            <w:vMerge w:val="restart"/>
            <w:vAlign w:val="center"/>
          </w:tcPr>
          <w:p>
            <w:pPr>
              <w:autoSpaceDE w:val="0"/>
              <w:autoSpaceDN w:val="0"/>
              <w:adjustRightInd w:val="0"/>
              <w:snapToGrid w:val="0"/>
              <w:jc w:val="center"/>
              <w:rPr>
                <w:color w:val="auto"/>
                <w:kern w:val="0"/>
              </w:rPr>
            </w:pPr>
            <w:r>
              <w:rPr>
                <w:color w:val="auto"/>
                <w:kern w:val="0"/>
              </w:rPr>
              <w:t>3.5</w:t>
            </w:r>
          </w:p>
          <w:p>
            <w:pPr>
              <w:jc w:val="center"/>
              <w:rPr>
                <w:rFonts w:cs="Times New Roman"/>
                <w:color w:val="auto"/>
                <w:kern w:val="0"/>
              </w:rPr>
            </w:pPr>
          </w:p>
        </w:tc>
        <w:tc>
          <w:tcPr>
            <w:tcW w:w="2562" w:type="dxa"/>
            <w:vAlign w:val="center"/>
          </w:tcPr>
          <w:p>
            <w:pPr>
              <w:adjustRightInd w:val="0"/>
              <w:snapToGrid w:val="0"/>
              <w:spacing w:line="300" w:lineRule="exact"/>
              <w:jc w:val="center"/>
              <w:rPr>
                <w:rFonts w:cs="宋体"/>
                <w:color w:val="auto"/>
                <w:kern w:val="0"/>
              </w:rPr>
            </w:pPr>
            <w:r>
              <w:rPr>
                <w:rFonts w:hint="eastAsia" w:cs="宋体"/>
                <w:color w:val="auto"/>
                <w:kern w:val="0"/>
              </w:rPr>
              <w:t>第3.5.1项修改</w:t>
            </w:r>
          </w:p>
        </w:tc>
        <w:tc>
          <w:tcPr>
            <w:tcW w:w="6241" w:type="dxa"/>
            <w:vAlign w:val="center"/>
          </w:tcPr>
          <w:p>
            <w:pPr>
              <w:spacing w:line="250" w:lineRule="exact"/>
              <w:ind w:left="62"/>
              <w:rPr>
                <w:rFonts w:cs="宋体"/>
                <w:color w:val="auto"/>
              </w:rPr>
            </w:pPr>
            <w:r>
              <w:rPr>
                <w:rFonts w:hint="eastAsia" w:cs="宋体"/>
                <w:color w:val="auto"/>
              </w:rPr>
              <w:t>“投标人基本情况表”应附企业法人营业执照副本和组织机构代码证副本（按照“三证合一”或“五证合一”登记制度进行登记的，可仅提供营业执照副本，下同）、勘察资质证书副本、基本账户开户许可证的复印件，投标人在国家企业信用信息公示系统中基础信息（体现股东及出资详细信息）的网页截图或由法定的社会验资机构出具的验资报告或注册地工商部门出具的股东出资情况证明复印件。</w:t>
            </w:r>
          </w:p>
          <w:p>
            <w:pPr>
              <w:spacing w:line="250" w:lineRule="exact"/>
              <w:ind w:left="62"/>
              <w:rPr>
                <w:rFonts w:cs="宋体"/>
                <w:color w:val="auto"/>
              </w:rPr>
            </w:pPr>
            <w:r>
              <w:rPr>
                <w:rFonts w:hint="eastAsia" w:cs="宋体"/>
                <w:color w:val="auto"/>
              </w:rPr>
              <w:t>企业法人营业执照副本和组织机构代码证副本、勘察资质证书副本、基本账户开户许可证的复印件应提供全本（证书封面、封底、空白页除外），应包括投标人名称、投标人其他相关信息、颁发机构名称、投标人信息变更情况等关键页在内，并逐页加盖投标人单位章。</w:t>
            </w:r>
          </w:p>
          <w:p>
            <w:pPr>
              <w:adjustRightInd w:val="0"/>
              <w:snapToGrid w:val="0"/>
              <w:spacing w:line="240" w:lineRule="exact"/>
              <w:ind w:left="57" w:leftChars="27" w:firstLine="252" w:firstLineChars="105"/>
              <w:jc w:val="left"/>
              <w:rPr>
                <w:rFonts w:hAnsi="Times New Roman"/>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18" w:hRule="atLeast"/>
          <w:jc w:val="center"/>
        </w:trPr>
        <w:tc>
          <w:tcPr>
            <w:tcW w:w="1024" w:type="dxa"/>
            <w:vMerge w:val="continue"/>
            <w:vAlign w:val="center"/>
          </w:tcPr>
          <w:p>
            <w:pPr>
              <w:jc w:val="center"/>
              <w:rPr>
                <w:rFonts w:cs="Times New Roman"/>
                <w:color w:val="auto"/>
                <w:kern w:val="0"/>
              </w:rPr>
            </w:pPr>
          </w:p>
        </w:tc>
        <w:tc>
          <w:tcPr>
            <w:tcW w:w="2562" w:type="dxa"/>
            <w:vAlign w:val="center"/>
          </w:tcPr>
          <w:p>
            <w:pPr>
              <w:adjustRightInd w:val="0"/>
              <w:snapToGrid w:val="0"/>
              <w:jc w:val="center"/>
              <w:rPr>
                <w:rFonts w:cs="Times New Roman"/>
                <w:color w:val="auto"/>
              </w:rPr>
            </w:pPr>
            <w:r>
              <w:rPr>
                <w:rFonts w:hint="eastAsia" w:cs="宋体"/>
                <w:color w:val="auto"/>
              </w:rPr>
              <w:t>第</w:t>
            </w:r>
            <w:r>
              <w:rPr>
                <w:color w:val="auto"/>
              </w:rPr>
              <w:t>3.5.1</w:t>
            </w:r>
            <w:r>
              <w:rPr>
                <w:rFonts w:hint="eastAsia" w:cs="宋体"/>
                <w:color w:val="auto"/>
              </w:rPr>
              <w:t>项补充</w:t>
            </w:r>
          </w:p>
        </w:tc>
        <w:tc>
          <w:tcPr>
            <w:tcW w:w="6241" w:type="dxa"/>
            <w:vAlign w:val="center"/>
          </w:tcPr>
          <w:p>
            <w:pPr>
              <w:autoSpaceDE w:val="0"/>
              <w:autoSpaceDN w:val="0"/>
              <w:snapToGrid w:val="0"/>
              <w:spacing w:line="276" w:lineRule="auto"/>
              <w:jc w:val="left"/>
              <w:rPr>
                <w:rFonts w:hAnsi="Times New Roman"/>
                <w:color w:val="auto"/>
              </w:rPr>
            </w:pPr>
            <w:r>
              <w:rPr>
                <w:rFonts w:hAnsi="Times New Roman"/>
                <w:color w:val="auto"/>
              </w:rPr>
              <w:t>1.</w:t>
            </w:r>
            <w:r>
              <w:rPr>
                <w:rFonts w:hint="eastAsia" w:hAnsi="Times New Roman" w:cs="宋体"/>
                <w:color w:val="auto"/>
              </w:rPr>
              <w:t>投标人若为事业单位，无企业法人营业执照，应附事业单位法人证书副本；</w:t>
            </w:r>
          </w:p>
          <w:p>
            <w:pPr>
              <w:spacing w:line="250" w:lineRule="exact"/>
              <w:ind w:left="62"/>
              <w:rPr>
                <w:rFonts w:cs="Times New Roman"/>
                <w:color w:val="auto"/>
                <w:kern w:val="0"/>
              </w:rPr>
            </w:pPr>
            <w:r>
              <w:rPr>
                <w:rFonts w:hAnsi="Times New Roman"/>
                <w:color w:val="auto"/>
              </w:rPr>
              <w:t>2.</w:t>
            </w:r>
            <w:r>
              <w:rPr>
                <w:rFonts w:hint="eastAsia" w:cs="宋体"/>
                <w:color w:val="auto"/>
              </w:rPr>
              <w:t>招标文件中要求投标人提供的各类证照复印件指企业法人营业执照副本或事业单位法人证书副本、</w:t>
            </w:r>
            <w:r>
              <w:rPr>
                <w:rFonts w:hint="eastAsia" w:cs="宋体"/>
                <w:color w:val="auto"/>
                <w:kern w:val="0"/>
              </w:rPr>
              <w:t>勘察资质证书副本、</w:t>
            </w:r>
            <w:r>
              <w:rPr>
                <w:rFonts w:hint="eastAsia" w:cs="宋体"/>
                <w:color w:val="auto"/>
              </w:rPr>
              <w:t>基本账户开户许可证彩色扫描件或彩色复印件，其他资料复印件可为黑白扫描件或黑白复印件。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18" w:hRule="atLeast"/>
          <w:jc w:val="center"/>
        </w:trPr>
        <w:tc>
          <w:tcPr>
            <w:tcW w:w="1024" w:type="dxa"/>
            <w:vMerge w:val="continue"/>
            <w:vAlign w:val="center"/>
          </w:tcPr>
          <w:p>
            <w:pPr>
              <w:autoSpaceDE w:val="0"/>
              <w:autoSpaceDN w:val="0"/>
              <w:adjustRightInd w:val="0"/>
              <w:snapToGrid w:val="0"/>
              <w:jc w:val="center"/>
              <w:rPr>
                <w:rFonts w:cs="Times New Roman"/>
                <w:color w:val="auto"/>
                <w:kern w:val="0"/>
              </w:rPr>
            </w:pPr>
          </w:p>
        </w:tc>
        <w:tc>
          <w:tcPr>
            <w:tcW w:w="2562" w:type="dxa"/>
            <w:vAlign w:val="center"/>
          </w:tcPr>
          <w:p>
            <w:pPr>
              <w:adjustRightInd w:val="0"/>
              <w:snapToGrid w:val="0"/>
              <w:spacing w:line="280" w:lineRule="exact"/>
              <w:jc w:val="center"/>
              <w:rPr>
                <w:rFonts w:cs="Times New Roman"/>
                <w:color w:val="auto"/>
              </w:rPr>
            </w:pPr>
            <w:r>
              <w:rPr>
                <w:rFonts w:hint="eastAsia" w:cs="宋体"/>
                <w:color w:val="auto"/>
              </w:rPr>
              <w:t>第</w:t>
            </w:r>
            <w:r>
              <w:rPr>
                <w:color w:val="auto"/>
              </w:rPr>
              <w:t>3.5.2</w:t>
            </w:r>
            <w:r>
              <w:rPr>
                <w:rFonts w:hint="eastAsia" w:cs="宋体"/>
                <w:color w:val="auto"/>
              </w:rPr>
              <w:t>项补充</w:t>
            </w:r>
          </w:p>
        </w:tc>
        <w:tc>
          <w:tcPr>
            <w:tcW w:w="6241" w:type="dxa"/>
            <w:vAlign w:val="center"/>
          </w:tcPr>
          <w:p>
            <w:pPr>
              <w:widowControl/>
              <w:jc w:val="left"/>
              <w:rPr>
                <w:rFonts w:cs="Times New Roman"/>
                <w:color w:val="auto"/>
              </w:rPr>
            </w:pPr>
            <w:r>
              <w:rPr>
                <w:rFonts w:hint="eastAsia" w:cs="宋体"/>
                <w:color w:val="auto"/>
              </w:rPr>
              <w:t>勘察业绩无法在交通运输部“全国公路建设市场信用信息管理系统”或省级交通运输主管部门“公路建设市场信用信息管理系统”中查询的，应附合同协议书（合同协议书关键页、盖章页部分）复印件并加盖公章（如果投标人提供的上述证明材料无法体现出“投标人须知前附表”附录</w:t>
            </w:r>
            <w:r>
              <w:rPr>
                <w:color w:val="auto"/>
              </w:rPr>
              <w:t>2</w:t>
            </w:r>
            <w:r>
              <w:rPr>
                <w:rFonts w:hint="eastAsia" w:cs="宋体"/>
                <w:color w:val="auto"/>
              </w:rPr>
              <w:t>要求的内容，则投标人还需提供由业主开具的证明材料（业主开具的证明材料须为带有业主公章的原件或扫描打印件，并加盖投标人公章））。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3" w:hRule="atLeast"/>
          <w:jc w:val="center"/>
        </w:trPr>
        <w:tc>
          <w:tcPr>
            <w:tcW w:w="1024" w:type="dxa"/>
            <w:vMerge w:val="continue"/>
            <w:vAlign w:val="center"/>
          </w:tcPr>
          <w:p>
            <w:pPr>
              <w:jc w:val="center"/>
              <w:rPr>
                <w:rFonts w:cs="Times New Roman"/>
                <w:color w:val="auto"/>
              </w:rPr>
            </w:pPr>
          </w:p>
        </w:tc>
        <w:tc>
          <w:tcPr>
            <w:tcW w:w="2562" w:type="dxa"/>
            <w:tcBorders>
              <w:top w:val="single" w:color="auto" w:sz="8" w:space="0"/>
            </w:tcBorders>
            <w:vAlign w:val="center"/>
          </w:tcPr>
          <w:p>
            <w:pPr>
              <w:autoSpaceDE w:val="0"/>
              <w:autoSpaceDN w:val="0"/>
              <w:adjustRightInd w:val="0"/>
              <w:snapToGrid w:val="0"/>
              <w:jc w:val="center"/>
              <w:rPr>
                <w:rFonts w:cs="Times New Roman"/>
                <w:color w:val="auto"/>
              </w:rPr>
            </w:pPr>
            <w:r>
              <w:rPr>
                <w:rFonts w:hint="eastAsia" w:cs="宋体"/>
                <w:color w:val="auto"/>
              </w:rPr>
              <w:t>第</w:t>
            </w:r>
            <w:r>
              <w:rPr>
                <w:color w:val="auto"/>
              </w:rPr>
              <w:t>3.5.3</w:t>
            </w:r>
            <w:r>
              <w:rPr>
                <w:rFonts w:hint="eastAsia" w:cs="宋体"/>
                <w:color w:val="auto"/>
              </w:rPr>
              <w:t>项修改</w:t>
            </w:r>
          </w:p>
        </w:tc>
        <w:tc>
          <w:tcPr>
            <w:tcW w:w="6241" w:type="dxa"/>
            <w:tcBorders>
              <w:top w:val="single" w:color="auto" w:sz="8" w:space="0"/>
            </w:tcBorders>
            <w:vAlign w:val="center"/>
          </w:tcPr>
          <w:p>
            <w:pPr>
              <w:spacing w:line="360" w:lineRule="exact"/>
              <w:rPr>
                <w:rFonts w:cs="Times New Roman"/>
                <w:color w:val="auto"/>
              </w:rPr>
            </w:pPr>
            <w:r>
              <w:rPr>
                <w:rFonts w:hint="eastAsia" w:cs="宋体"/>
                <w:color w:val="auto"/>
              </w:rPr>
              <w:t>删除“以及由项目所在地或投标人住所地检察机关职务犯罪预防部门出具的近三年内投标人及其法定代表人、拟委任的项目负责人均无行贿犯罪行为的查询记录证明原件”内容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3" w:hRule="atLeast"/>
          <w:jc w:val="center"/>
        </w:trPr>
        <w:tc>
          <w:tcPr>
            <w:tcW w:w="1024" w:type="dxa"/>
            <w:vMerge w:val="continue"/>
            <w:vAlign w:val="center"/>
          </w:tcPr>
          <w:p>
            <w:pPr>
              <w:jc w:val="center"/>
              <w:rPr>
                <w:rFonts w:cs="Times New Roman"/>
                <w:color w:val="auto"/>
              </w:rPr>
            </w:pPr>
          </w:p>
        </w:tc>
        <w:tc>
          <w:tcPr>
            <w:tcW w:w="2562" w:type="dxa"/>
            <w:tcBorders>
              <w:top w:val="single" w:color="auto" w:sz="8" w:space="0"/>
            </w:tcBorders>
            <w:vAlign w:val="center"/>
          </w:tcPr>
          <w:p>
            <w:pPr>
              <w:autoSpaceDE w:val="0"/>
              <w:autoSpaceDN w:val="0"/>
              <w:adjustRightInd w:val="0"/>
              <w:snapToGrid w:val="0"/>
              <w:jc w:val="center"/>
              <w:rPr>
                <w:rFonts w:cs="Times New Roman"/>
                <w:color w:val="auto"/>
              </w:rPr>
            </w:pPr>
            <w:r>
              <w:rPr>
                <w:rFonts w:hint="eastAsia" w:cs="宋体"/>
                <w:color w:val="auto"/>
              </w:rPr>
              <w:t>第</w:t>
            </w:r>
            <w:r>
              <w:rPr>
                <w:color w:val="auto"/>
              </w:rPr>
              <w:t>3.5.3</w:t>
            </w:r>
            <w:r>
              <w:rPr>
                <w:rFonts w:hint="eastAsia" w:cs="宋体"/>
                <w:color w:val="auto"/>
              </w:rPr>
              <w:t>项补充</w:t>
            </w:r>
          </w:p>
        </w:tc>
        <w:tc>
          <w:tcPr>
            <w:tcW w:w="6241" w:type="dxa"/>
            <w:tcBorders>
              <w:top w:val="single" w:color="auto" w:sz="8" w:space="0"/>
            </w:tcBorders>
            <w:vAlign w:val="center"/>
          </w:tcPr>
          <w:p>
            <w:pPr>
              <w:spacing w:line="360" w:lineRule="exact"/>
              <w:rPr>
                <w:rFonts w:cs="Times New Roman"/>
                <w:color w:val="auto"/>
              </w:rPr>
            </w:pPr>
            <w:r>
              <w:rPr>
                <w:rFonts w:hint="eastAsia" w:cs="宋体"/>
                <w:color w:val="auto"/>
              </w:rPr>
              <w:t>投标人及其法定代表人、拟委任的项目负责人无行贿犯罪行为的查询记录证明须提供由投标人出具近三年内投标人及其法定代表人、拟委任的项目负责人无行贿犯罪行为的声明（加盖单位公章）须填写在“投标函8.补充其他说明中”，并将投标人出具的近三年内投标人及其法定代表人、拟委任的项目负责人名单附在投标文件“投标人的信誉情况表”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8" w:hRule="atLeast"/>
          <w:jc w:val="center"/>
        </w:trPr>
        <w:tc>
          <w:tcPr>
            <w:tcW w:w="1024" w:type="dxa"/>
            <w:vMerge w:val="continue"/>
            <w:vAlign w:val="center"/>
          </w:tcPr>
          <w:p>
            <w:pPr>
              <w:widowControl/>
              <w:ind w:firstLine="210" w:firstLineChars="100"/>
              <w:jc w:val="left"/>
              <w:rPr>
                <w:rFonts w:cs="Times New Roman"/>
                <w:color w:val="auto"/>
                <w:kern w:val="0"/>
              </w:rPr>
            </w:pPr>
          </w:p>
        </w:tc>
        <w:tc>
          <w:tcPr>
            <w:tcW w:w="2562" w:type="dxa"/>
            <w:vAlign w:val="center"/>
          </w:tcPr>
          <w:p>
            <w:pPr>
              <w:spacing w:line="280" w:lineRule="exact"/>
              <w:jc w:val="center"/>
              <w:rPr>
                <w:rFonts w:cs="Times New Roman"/>
                <w:color w:val="auto"/>
              </w:rPr>
            </w:pPr>
            <w:r>
              <w:rPr>
                <w:rFonts w:hint="eastAsia" w:cs="宋体"/>
                <w:color w:val="auto"/>
              </w:rPr>
              <w:t>第</w:t>
            </w:r>
            <w:r>
              <w:rPr>
                <w:color w:val="auto"/>
              </w:rPr>
              <w:t>3.5.4</w:t>
            </w:r>
            <w:r>
              <w:rPr>
                <w:rFonts w:hint="eastAsia" w:cs="宋体"/>
                <w:color w:val="auto"/>
              </w:rPr>
              <w:t>项补充</w:t>
            </w:r>
          </w:p>
        </w:tc>
        <w:tc>
          <w:tcPr>
            <w:tcW w:w="6241" w:type="dxa"/>
            <w:vAlign w:val="center"/>
          </w:tcPr>
          <w:p>
            <w:pPr>
              <w:adjustRightInd w:val="0"/>
              <w:snapToGrid w:val="0"/>
              <w:rPr>
                <w:rFonts w:cs="Times New Roman"/>
                <w:color w:val="auto"/>
              </w:rPr>
            </w:pPr>
            <w:r>
              <w:rPr>
                <w:rFonts w:hint="eastAsia" w:cs="宋体"/>
                <w:color w:val="auto"/>
              </w:rPr>
              <w:t>“拟委任的项目负责人资历表”勘察业绩无法在交通运输部“全国公路建设市场信用信息管理系统”或省级交通运输主管部门“公路建设市场信用信息管理系统”中查询的，应附合同协议书（合同协议书关键页、盖章页部分）复印件并加盖公章，（如果投标人提供的上述证明材料无法体现出“投标人须知前附表”附录</w:t>
            </w:r>
            <w:r>
              <w:rPr>
                <w:color w:val="auto"/>
              </w:rPr>
              <w:t>4</w:t>
            </w:r>
            <w:r>
              <w:rPr>
                <w:rFonts w:hint="eastAsia" w:cs="宋体"/>
                <w:color w:val="auto"/>
              </w:rPr>
              <w:t>要求的内容及其任职情况，则投标人还需提供由业主开具的证明材料（业主开具的证明材料须为带有业主公章的原件或扫描打印件，并加盖投标人公章））。</w:t>
            </w:r>
          </w:p>
          <w:p>
            <w:pPr>
              <w:adjustRightInd w:val="0"/>
              <w:snapToGrid w:val="0"/>
              <w:rPr>
                <w:rFonts w:cs="Times New Roman"/>
                <w:color w:val="auto"/>
              </w:rPr>
            </w:pPr>
            <w:r>
              <w:rPr>
                <w:rFonts w:hint="eastAsia" w:cs="宋体"/>
                <w:color w:val="auto"/>
              </w:rPr>
              <w:t>相关人员社保缴费证明时间为</w:t>
            </w:r>
            <w:r>
              <w:rPr>
                <w:rFonts w:hint="eastAsia"/>
                <w:color w:val="auto"/>
              </w:rPr>
              <w:t>2021</w:t>
            </w:r>
            <w:r>
              <w:rPr>
                <w:rFonts w:hint="eastAsia" w:cs="宋体"/>
                <w:color w:val="auto"/>
              </w:rPr>
              <w:t>年</w:t>
            </w:r>
            <w:r>
              <w:rPr>
                <w:rFonts w:hint="eastAsia"/>
                <w:color w:val="auto"/>
                <w:lang w:val="en-US" w:eastAsia="zh-CN"/>
              </w:rPr>
              <w:t>9</w:t>
            </w:r>
            <w:r>
              <w:rPr>
                <w:rFonts w:hint="eastAsia" w:cs="宋体"/>
                <w:color w:val="auto"/>
              </w:rPr>
              <w:t>月至</w:t>
            </w:r>
            <w:r>
              <w:rPr>
                <w:rFonts w:hint="eastAsia"/>
                <w:color w:val="auto"/>
              </w:rPr>
              <w:t>2022</w:t>
            </w:r>
            <w:r>
              <w:rPr>
                <w:rFonts w:hint="eastAsia" w:cs="宋体"/>
                <w:color w:val="auto"/>
              </w:rPr>
              <w:t>年</w:t>
            </w:r>
            <w:r>
              <w:rPr>
                <w:rFonts w:hint="eastAsia" w:cs="宋体"/>
                <w:color w:val="auto"/>
                <w:lang w:val="en-US" w:eastAsia="zh-CN"/>
              </w:rPr>
              <w:t>3</w:t>
            </w:r>
            <w:r>
              <w:rPr>
                <w:rFonts w:hint="eastAsia" w:cs="宋体"/>
                <w:color w:val="auto"/>
              </w:rPr>
              <w:t>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jc w:val="center"/>
        </w:trPr>
        <w:tc>
          <w:tcPr>
            <w:tcW w:w="1024" w:type="dxa"/>
            <w:tcBorders>
              <w:top w:val="single" w:color="auto" w:sz="8" w:space="0"/>
            </w:tcBorders>
            <w:vAlign w:val="center"/>
          </w:tcPr>
          <w:p>
            <w:pPr>
              <w:jc w:val="center"/>
              <w:rPr>
                <w:rFonts w:cs="Times New Roman"/>
                <w:b/>
                <w:bCs/>
                <w:color w:val="auto"/>
                <w:kern w:val="0"/>
              </w:rPr>
            </w:pPr>
            <w:r>
              <w:rPr>
                <w:color w:val="auto"/>
                <w:kern w:val="0"/>
              </w:rPr>
              <w:t>3.7</w:t>
            </w:r>
          </w:p>
        </w:tc>
        <w:tc>
          <w:tcPr>
            <w:tcW w:w="2562" w:type="dxa"/>
            <w:tcBorders>
              <w:top w:val="single" w:color="auto" w:sz="8" w:space="0"/>
            </w:tcBorders>
            <w:vAlign w:val="center"/>
          </w:tcPr>
          <w:p>
            <w:pPr>
              <w:adjustRightInd w:val="0"/>
              <w:snapToGrid w:val="0"/>
              <w:jc w:val="center"/>
              <w:rPr>
                <w:rFonts w:cs="Times New Roman"/>
                <w:color w:val="auto"/>
              </w:rPr>
            </w:pPr>
            <w:r>
              <w:rPr>
                <w:rFonts w:hint="eastAsia" w:cs="宋体"/>
                <w:color w:val="auto"/>
              </w:rPr>
              <w:t>第</w:t>
            </w:r>
            <w:r>
              <w:rPr>
                <w:color w:val="auto"/>
              </w:rPr>
              <w:t>3.7.4</w:t>
            </w:r>
            <w:r>
              <w:rPr>
                <w:rFonts w:hint="eastAsia" w:cs="宋体"/>
                <w:color w:val="auto"/>
              </w:rPr>
              <w:t>项补充</w:t>
            </w:r>
          </w:p>
        </w:tc>
        <w:tc>
          <w:tcPr>
            <w:tcW w:w="6241" w:type="dxa"/>
            <w:tcBorders>
              <w:top w:val="single" w:color="auto" w:sz="8" w:space="0"/>
            </w:tcBorders>
            <w:vAlign w:val="center"/>
          </w:tcPr>
          <w:p>
            <w:pPr>
              <w:adjustRightInd w:val="0"/>
              <w:snapToGrid w:val="0"/>
              <w:jc w:val="left"/>
              <w:rPr>
                <w:rFonts w:cs="Times New Roman"/>
                <w:color w:val="auto"/>
              </w:rPr>
            </w:pPr>
            <w:r>
              <w:rPr>
                <w:rFonts w:hint="eastAsia" w:cs="宋体"/>
                <w:color w:val="auto"/>
              </w:rPr>
              <w:t>投标文件副本应为正本的彩色或黑白复印件。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1" w:hRule="atLeast"/>
          <w:jc w:val="center"/>
        </w:trPr>
        <w:tc>
          <w:tcPr>
            <w:tcW w:w="1024" w:type="dxa"/>
            <w:vAlign w:val="center"/>
          </w:tcPr>
          <w:p>
            <w:pPr>
              <w:autoSpaceDE w:val="0"/>
              <w:autoSpaceDN w:val="0"/>
              <w:adjustRightInd w:val="0"/>
              <w:snapToGrid w:val="0"/>
              <w:jc w:val="center"/>
              <w:rPr>
                <w:color w:val="auto"/>
                <w:kern w:val="0"/>
              </w:rPr>
            </w:pPr>
            <w:r>
              <w:rPr>
                <w:color w:val="auto"/>
                <w:kern w:val="0"/>
              </w:rPr>
              <w:t>7.9</w:t>
            </w:r>
          </w:p>
        </w:tc>
        <w:tc>
          <w:tcPr>
            <w:tcW w:w="2562" w:type="dxa"/>
            <w:vAlign w:val="center"/>
          </w:tcPr>
          <w:p>
            <w:pPr>
              <w:adjustRightInd w:val="0"/>
              <w:snapToGrid w:val="0"/>
              <w:spacing w:line="260" w:lineRule="exact"/>
              <w:ind w:right="-27"/>
              <w:jc w:val="center"/>
              <w:rPr>
                <w:rFonts w:cs="Times New Roman"/>
                <w:b/>
                <w:bCs/>
                <w:color w:val="auto"/>
              </w:rPr>
            </w:pPr>
            <w:r>
              <w:rPr>
                <w:rFonts w:hint="eastAsia" w:cs="宋体"/>
                <w:color w:val="auto"/>
              </w:rPr>
              <w:t>补充第</w:t>
            </w:r>
            <w:r>
              <w:rPr>
                <w:color w:val="auto"/>
              </w:rPr>
              <w:t>7.9.6</w:t>
            </w:r>
            <w:r>
              <w:rPr>
                <w:rFonts w:hint="eastAsia" w:cs="宋体"/>
                <w:color w:val="auto"/>
              </w:rPr>
              <w:t>款</w:t>
            </w:r>
          </w:p>
        </w:tc>
        <w:tc>
          <w:tcPr>
            <w:tcW w:w="6241" w:type="dxa"/>
            <w:vAlign w:val="center"/>
          </w:tcPr>
          <w:p>
            <w:pPr>
              <w:adjustRightInd w:val="0"/>
              <w:snapToGrid w:val="0"/>
              <w:spacing w:line="260" w:lineRule="exact"/>
              <w:rPr>
                <w:rFonts w:cs="Times New Roman"/>
                <w:b/>
                <w:bCs/>
                <w:color w:val="auto"/>
              </w:rPr>
            </w:pPr>
            <w:r>
              <w:rPr>
                <w:rFonts w:hint="eastAsia" w:cs="宋体"/>
                <w:color w:val="auto"/>
              </w:rPr>
              <w:t>如果根据本章第</w:t>
            </w:r>
            <w:r>
              <w:rPr>
                <w:color w:val="auto"/>
              </w:rPr>
              <w:t>3.5.9</w:t>
            </w:r>
            <w:r>
              <w:rPr>
                <w:rFonts w:hint="eastAsia" w:cs="宋体"/>
                <w:color w:val="auto"/>
              </w:rPr>
              <w:t>项、第</w:t>
            </w:r>
            <w:r>
              <w:rPr>
                <w:color w:val="auto"/>
              </w:rPr>
              <w:t>7.8.2</w:t>
            </w:r>
            <w:r>
              <w:rPr>
                <w:rFonts w:hint="eastAsia" w:cs="宋体"/>
                <w:color w:val="auto"/>
              </w:rPr>
              <w:t>项、第</w:t>
            </w:r>
            <w:r>
              <w:rPr>
                <w:color w:val="auto"/>
              </w:rPr>
              <w:t>7.9.1</w:t>
            </w:r>
            <w:r>
              <w:rPr>
                <w:rFonts w:hint="eastAsia" w:cs="宋体"/>
                <w:color w:val="auto"/>
              </w:rPr>
              <w:t>项的规定，招标人取消了中标人的中标资格，在此情况下，招标人可将合同授予下一个中标候选人，或者按规定重新组织招标。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8" w:hRule="atLeast"/>
          <w:jc w:val="center"/>
        </w:trPr>
        <w:tc>
          <w:tcPr>
            <w:tcW w:w="1024" w:type="dxa"/>
            <w:vMerge w:val="restart"/>
            <w:vAlign w:val="center"/>
          </w:tcPr>
          <w:p>
            <w:pPr>
              <w:autoSpaceDE w:val="0"/>
              <w:autoSpaceDN w:val="0"/>
              <w:adjustRightInd w:val="0"/>
              <w:snapToGrid w:val="0"/>
              <w:jc w:val="center"/>
              <w:rPr>
                <w:color w:val="auto"/>
                <w:kern w:val="0"/>
              </w:rPr>
            </w:pPr>
            <w:r>
              <w:rPr>
                <w:color w:val="auto"/>
                <w:kern w:val="0"/>
              </w:rPr>
              <w:t>10</w:t>
            </w:r>
          </w:p>
        </w:tc>
        <w:tc>
          <w:tcPr>
            <w:tcW w:w="2562" w:type="dxa"/>
            <w:vAlign w:val="center"/>
          </w:tcPr>
          <w:p>
            <w:pPr>
              <w:adjustRightInd w:val="0"/>
              <w:snapToGrid w:val="0"/>
              <w:ind w:left="-107" w:leftChars="-51"/>
              <w:jc w:val="center"/>
              <w:rPr>
                <w:color w:val="auto"/>
              </w:rPr>
            </w:pPr>
            <w:r>
              <w:rPr>
                <w:rFonts w:hint="eastAsia" w:cs="宋体"/>
                <w:color w:val="auto"/>
              </w:rPr>
              <w:t>补充第</w:t>
            </w:r>
            <w:r>
              <w:rPr>
                <w:color w:val="auto"/>
              </w:rPr>
              <w:t>10.2</w:t>
            </w:r>
            <w:r>
              <w:rPr>
                <w:rFonts w:hint="eastAsia" w:cs="宋体"/>
                <w:color w:val="auto"/>
              </w:rPr>
              <w:t>款</w:t>
            </w:r>
          </w:p>
        </w:tc>
        <w:tc>
          <w:tcPr>
            <w:tcW w:w="6241" w:type="dxa"/>
            <w:vAlign w:val="center"/>
          </w:tcPr>
          <w:p>
            <w:pPr>
              <w:adjustRightInd w:val="0"/>
              <w:snapToGrid w:val="0"/>
              <w:ind w:left="57" w:leftChars="27"/>
              <w:rPr>
                <w:rFonts w:cs="Times New Roman"/>
                <w:color w:val="auto"/>
              </w:rPr>
            </w:pPr>
            <w:r>
              <w:rPr>
                <w:color w:val="auto"/>
              </w:rPr>
              <w:t xml:space="preserve">10.2 </w:t>
            </w:r>
            <w:r>
              <w:rPr>
                <w:rFonts w:hint="eastAsia" w:cs="宋体"/>
                <w:color w:val="auto"/>
              </w:rPr>
              <w:t>依据《公路工程建设项目招投标管理办法》（交通运输部令</w:t>
            </w:r>
            <w:r>
              <w:rPr>
                <w:color w:val="auto"/>
              </w:rPr>
              <w:t>2015</w:t>
            </w:r>
            <w:r>
              <w:rPr>
                <w:rFonts w:hint="eastAsia" w:cs="宋体"/>
                <w:color w:val="auto"/>
              </w:rPr>
              <w:t>年第</w:t>
            </w:r>
            <w:r>
              <w:rPr>
                <w:color w:val="auto"/>
              </w:rPr>
              <w:t>24</w:t>
            </w:r>
            <w:r>
              <w:rPr>
                <w:rFonts w:hint="eastAsia" w:cs="宋体"/>
                <w:color w:val="auto"/>
              </w:rPr>
              <w:t>号）第五十三条规定，中标人企业业绩及人员业绩将进行网上公示。若发现弄虚作假，将取消其中标资格，并上报监督管理部门，依据《中华人民共和国招标投标法》第五十四条、《中华人民共和国招标投标法实施条例》第六十八条和《公路工程建设项目招投标管理办法》第六十九条进行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7" w:hRule="atLeast"/>
          <w:jc w:val="center"/>
        </w:trPr>
        <w:tc>
          <w:tcPr>
            <w:tcW w:w="1024" w:type="dxa"/>
            <w:vMerge w:val="continue"/>
            <w:vAlign w:val="center"/>
          </w:tcPr>
          <w:p>
            <w:pPr>
              <w:autoSpaceDE w:val="0"/>
              <w:autoSpaceDN w:val="0"/>
              <w:adjustRightInd w:val="0"/>
              <w:snapToGrid w:val="0"/>
              <w:jc w:val="center"/>
              <w:rPr>
                <w:rFonts w:cs="Times New Roman"/>
                <w:color w:val="auto"/>
                <w:kern w:val="0"/>
              </w:rPr>
            </w:pPr>
          </w:p>
        </w:tc>
        <w:tc>
          <w:tcPr>
            <w:tcW w:w="2562" w:type="dxa"/>
            <w:vAlign w:val="center"/>
          </w:tcPr>
          <w:p>
            <w:pPr>
              <w:adjustRightInd w:val="0"/>
              <w:snapToGrid w:val="0"/>
              <w:jc w:val="center"/>
              <w:rPr>
                <w:rFonts w:cs="Times New Roman"/>
                <w:color w:val="auto"/>
              </w:rPr>
            </w:pPr>
            <w:r>
              <w:rPr>
                <w:rFonts w:hint="eastAsia" w:cs="宋体"/>
                <w:color w:val="auto"/>
              </w:rPr>
              <w:t>补充第</w:t>
            </w:r>
            <w:r>
              <w:rPr>
                <w:color w:val="auto"/>
              </w:rPr>
              <w:t>10.3</w:t>
            </w:r>
            <w:r>
              <w:rPr>
                <w:rFonts w:hint="eastAsia" w:cs="宋体"/>
                <w:color w:val="auto"/>
              </w:rPr>
              <w:t>款</w:t>
            </w:r>
          </w:p>
        </w:tc>
        <w:tc>
          <w:tcPr>
            <w:tcW w:w="6241" w:type="dxa"/>
            <w:vAlign w:val="center"/>
          </w:tcPr>
          <w:p>
            <w:pPr>
              <w:adjustRightInd w:val="0"/>
              <w:snapToGrid w:val="0"/>
              <w:ind w:firstLine="210" w:firstLineChars="100"/>
              <w:rPr>
                <w:rFonts w:cs="Times New Roman"/>
                <w:color w:val="auto"/>
              </w:rPr>
            </w:pPr>
            <w:r>
              <w:rPr>
                <w:color w:val="auto"/>
              </w:rPr>
              <w:t>10.3</w:t>
            </w:r>
            <w:r>
              <w:rPr>
                <w:rFonts w:hint="eastAsia" w:cs="宋体"/>
                <w:color w:val="auto"/>
              </w:rPr>
              <w:t>投标人为企业的应在国家企业信用信息公示系统（</w:t>
            </w:r>
            <w:r>
              <w:rPr>
                <w:color w:val="auto"/>
              </w:rPr>
              <w:t>http://www.gsxt.gov.cn/</w:t>
            </w:r>
            <w:r>
              <w:rPr>
                <w:rFonts w:hint="eastAsia" w:cs="宋体"/>
                <w:color w:val="auto"/>
              </w:rPr>
              <w:t>）中自行公示除股东（股份公司为发起人）姓名以外的详细出资信息，并按照《企业信息公示暂行条例》（国务院令第</w:t>
            </w:r>
            <w:r>
              <w:rPr>
                <w:color w:val="auto"/>
              </w:rPr>
              <w:t>654</w:t>
            </w:r>
            <w:r>
              <w:rPr>
                <w:rFonts w:hint="eastAsia" w:cs="宋体"/>
                <w:color w:val="auto"/>
              </w:rPr>
              <w:t>号）和国家工商总局关于贯彻落实《企业信息公示暂行条例》有关问题的通知（工商外企字</w:t>
            </w:r>
            <w:r>
              <w:rPr>
                <w:color w:val="auto"/>
              </w:rPr>
              <w:t>[2014]166</w:t>
            </w:r>
            <w:r>
              <w:rPr>
                <w:rFonts w:hint="eastAsia" w:cs="宋体"/>
                <w:color w:val="auto"/>
              </w:rPr>
              <w:t>号）中的规定填写。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7" w:hRule="atLeast"/>
          <w:jc w:val="center"/>
        </w:trPr>
        <w:tc>
          <w:tcPr>
            <w:tcW w:w="1024" w:type="dxa"/>
            <w:vAlign w:val="center"/>
          </w:tcPr>
          <w:p>
            <w:pPr>
              <w:autoSpaceDE w:val="0"/>
              <w:autoSpaceDN w:val="0"/>
              <w:adjustRightInd w:val="0"/>
              <w:snapToGrid w:val="0"/>
              <w:jc w:val="center"/>
              <w:rPr>
                <w:rFonts w:cs="Times New Roman"/>
                <w:color w:val="auto"/>
                <w:kern w:val="0"/>
              </w:rPr>
            </w:pPr>
            <w:r>
              <w:rPr>
                <w:rFonts w:hint="eastAsia" w:cs="Times New Roman"/>
                <w:color w:val="auto"/>
                <w:kern w:val="0"/>
              </w:rPr>
              <w:t>附录3</w:t>
            </w:r>
          </w:p>
        </w:tc>
        <w:tc>
          <w:tcPr>
            <w:tcW w:w="2562" w:type="dxa"/>
            <w:vAlign w:val="center"/>
          </w:tcPr>
          <w:p>
            <w:pPr>
              <w:adjustRightInd w:val="0"/>
              <w:snapToGrid w:val="0"/>
              <w:jc w:val="center"/>
              <w:rPr>
                <w:rFonts w:cs="宋体"/>
                <w:color w:val="auto"/>
              </w:rPr>
            </w:pPr>
            <w:r>
              <w:rPr>
                <w:rFonts w:hint="eastAsia" w:cs="宋体"/>
                <w:color w:val="auto"/>
              </w:rPr>
              <w:t>附录3修改</w:t>
            </w:r>
          </w:p>
        </w:tc>
        <w:tc>
          <w:tcPr>
            <w:tcW w:w="6241" w:type="dxa"/>
            <w:vAlign w:val="center"/>
          </w:tcPr>
          <w:p>
            <w:pPr>
              <w:adjustRightInd w:val="0"/>
              <w:snapToGrid w:val="0"/>
              <w:rPr>
                <w:color w:val="auto"/>
              </w:rPr>
            </w:pPr>
            <w:r>
              <w:rPr>
                <w:rFonts w:hint="eastAsia"/>
                <w:color w:val="auto"/>
              </w:rPr>
              <w:t>删除“附录3 资格审查条件（信誉最低要求）：</w:t>
            </w:r>
            <w:r>
              <w:rPr>
                <w:rFonts w:hint="eastAsia"/>
                <w:color w:val="auto"/>
                <w:lang w:val="zh-CN"/>
              </w:rPr>
              <w:t>在交通运输部</w:t>
            </w:r>
            <w:r>
              <w:rPr>
                <w:rFonts w:hint="eastAsia"/>
                <w:color w:val="auto"/>
              </w:rPr>
              <w:t>2020</w:t>
            </w:r>
            <w:r>
              <w:rPr>
                <w:rFonts w:hint="eastAsia"/>
                <w:color w:val="auto"/>
                <w:lang w:val="zh-CN"/>
              </w:rPr>
              <w:t>年度公路建设市场信用等级评价或</w:t>
            </w:r>
            <w:r>
              <w:rPr>
                <w:rFonts w:hint="eastAsia"/>
                <w:color w:val="auto"/>
              </w:rPr>
              <w:t>2020</w:t>
            </w:r>
            <w:r>
              <w:rPr>
                <w:rFonts w:hint="eastAsia"/>
                <w:color w:val="auto"/>
                <w:lang w:val="zh-CN"/>
              </w:rPr>
              <w:t>年度天津市公路建设市场信用等级评价均被评为</w:t>
            </w:r>
            <w:r>
              <w:rPr>
                <w:rFonts w:hint="eastAsia"/>
                <w:color w:val="auto"/>
              </w:rPr>
              <w:t>C</w:t>
            </w:r>
            <w:r>
              <w:rPr>
                <w:rFonts w:hint="eastAsia"/>
                <w:color w:val="auto"/>
                <w:lang w:val="zh-CN"/>
              </w:rPr>
              <w:t>级或以上</w:t>
            </w:r>
            <w:r>
              <w:rPr>
                <w:rFonts w:hint="eastAsia"/>
                <w:color w:val="auto"/>
              </w:rPr>
              <w:t>（</w:t>
            </w:r>
            <w:r>
              <w:rPr>
                <w:rFonts w:hint="eastAsia"/>
                <w:color w:val="auto"/>
                <w:lang w:val="zh-CN"/>
              </w:rPr>
              <w:t>被交通运输部或天津市公路主管部门评为</w:t>
            </w:r>
            <w:r>
              <w:rPr>
                <w:rFonts w:hint="eastAsia"/>
                <w:color w:val="auto"/>
              </w:rPr>
              <w:t>C</w:t>
            </w:r>
            <w:r>
              <w:rPr>
                <w:rFonts w:hint="eastAsia"/>
                <w:color w:val="auto"/>
                <w:lang w:val="zh-CN"/>
              </w:rPr>
              <w:t>级的单位禁止在天津市参加特大型桥梁工程投标</w:t>
            </w:r>
            <w:r>
              <w:rPr>
                <w:rFonts w:hint="eastAsia"/>
                <w:color w:val="auto"/>
              </w:rPr>
              <w:t>），</w:t>
            </w:r>
            <w:r>
              <w:rPr>
                <w:rFonts w:hint="eastAsia"/>
                <w:color w:val="auto"/>
                <w:lang w:val="zh-CN"/>
              </w:rPr>
              <w:t>且企业在国家企业信用信息公示系统</w:t>
            </w:r>
            <w:r>
              <w:rPr>
                <w:rFonts w:hint="eastAsia"/>
                <w:color w:val="auto"/>
              </w:rPr>
              <w:t>（http://gsxt.saic.gov.cn/）</w:t>
            </w:r>
            <w:r>
              <w:rPr>
                <w:rFonts w:hint="eastAsia"/>
                <w:color w:val="auto"/>
                <w:lang w:val="zh-CN"/>
              </w:rPr>
              <w:t>中无经营异常情况。</w:t>
            </w:r>
            <w:r>
              <w:rPr>
                <w:rFonts w:hint="eastAsia"/>
                <w:color w:val="auto"/>
              </w:rPr>
              <w:t>”</w:t>
            </w:r>
          </w:p>
        </w:tc>
      </w:tr>
    </w:tbl>
    <w:p>
      <w:pPr>
        <w:autoSpaceDE w:val="0"/>
        <w:autoSpaceDN w:val="0"/>
        <w:adjustRightInd w:val="0"/>
        <w:jc w:val="right"/>
        <w:rPr>
          <w:rFonts w:cs="Times New Roman"/>
          <w:color w:val="auto"/>
          <w:kern w:val="0"/>
        </w:rPr>
      </w:pPr>
    </w:p>
    <w:p>
      <w:pPr>
        <w:autoSpaceDE w:val="0"/>
        <w:autoSpaceDN w:val="0"/>
        <w:snapToGrid w:val="0"/>
        <w:jc w:val="center"/>
        <w:rPr>
          <w:rFonts w:ascii="黑体" w:eastAsia="黑体" w:cs="黑体"/>
          <w:b/>
          <w:bCs/>
          <w:color w:val="auto"/>
          <w:kern w:val="0"/>
          <w:sz w:val="32"/>
          <w:szCs w:val="32"/>
        </w:rPr>
        <w:sectPr>
          <w:footerReference r:id="rId6" w:type="first"/>
          <w:footerReference r:id="rId5" w:type="default"/>
          <w:footnotePr>
            <w:numFmt w:val="decimalEnclosedCircle"/>
            <w:numRestart w:val="eachPage"/>
          </w:footnotePr>
          <w:pgSz w:w="11907" w:h="16840"/>
          <w:pgMar w:top="1240" w:right="1087" w:bottom="1440" w:left="1360" w:header="720" w:footer="720" w:gutter="0"/>
          <w:pgNumType w:start="1"/>
          <w:cols w:space="720" w:num="1"/>
          <w:titlePg/>
        </w:sectPr>
      </w:pPr>
    </w:p>
    <w:p>
      <w:pPr>
        <w:autoSpaceDE w:val="0"/>
        <w:autoSpaceDN w:val="0"/>
        <w:snapToGrid w:val="0"/>
        <w:jc w:val="center"/>
        <w:rPr>
          <w:rFonts w:ascii="黑体" w:eastAsia="黑体" w:cs="Times New Roman"/>
          <w:b/>
          <w:bCs/>
          <w:color w:val="auto"/>
          <w:kern w:val="0"/>
          <w:sz w:val="32"/>
          <w:szCs w:val="32"/>
        </w:rPr>
      </w:pPr>
      <w:r>
        <w:rPr>
          <w:rFonts w:hint="eastAsia" w:ascii="黑体" w:eastAsia="黑体" w:cs="黑体"/>
          <w:b/>
          <w:bCs/>
          <w:color w:val="auto"/>
          <w:kern w:val="0"/>
          <w:sz w:val="32"/>
          <w:szCs w:val="32"/>
        </w:rPr>
        <w:t>附录</w:t>
      </w:r>
      <w:r>
        <w:rPr>
          <w:rFonts w:ascii="黑体" w:eastAsia="黑体" w:cs="黑体"/>
          <w:b/>
          <w:bCs/>
          <w:color w:val="auto"/>
          <w:kern w:val="0"/>
          <w:sz w:val="32"/>
          <w:szCs w:val="32"/>
        </w:rPr>
        <w:t xml:space="preserve">1 </w:t>
      </w:r>
      <w:r>
        <w:rPr>
          <w:rFonts w:hint="eastAsia" w:ascii="黑体" w:eastAsia="黑体" w:cs="黑体"/>
          <w:b/>
          <w:bCs/>
          <w:color w:val="auto"/>
          <w:kern w:val="0"/>
          <w:sz w:val="32"/>
          <w:szCs w:val="32"/>
        </w:rPr>
        <w:t>资格审查条件（资质最低要求）</w:t>
      </w:r>
    </w:p>
    <w:p>
      <w:pPr>
        <w:autoSpaceDE w:val="0"/>
        <w:autoSpaceDN w:val="0"/>
        <w:snapToGrid w:val="0"/>
        <w:jc w:val="center"/>
        <w:rPr>
          <w:rFonts w:ascii="黑体" w:eastAsia="黑体" w:cs="Times New Roman"/>
          <w:b/>
          <w:bCs/>
          <w:color w:val="auto"/>
          <w:sz w:val="32"/>
          <w:szCs w:val="32"/>
        </w:rPr>
      </w:pPr>
    </w:p>
    <w:tbl>
      <w:tblPr>
        <w:tblStyle w:val="20"/>
        <w:tblW w:w="822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225" w:type="dxa"/>
            <w:tcBorders>
              <w:top w:val="single" w:color="auto" w:sz="12" w:space="0"/>
            </w:tcBorders>
            <w:vAlign w:val="center"/>
          </w:tcPr>
          <w:p>
            <w:pPr>
              <w:autoSpaceDE w:val="0"/>
              <w:autoSpaceDN w:val="0"/>
              <w:adjustRightInd w:val="0"/>
              <w:jc w:val="center"/>
              <w:rPr>
                <w:rFonts w:cs="Times New Roman"/>
                <w:color w:val="auto"/>
                <w:kern w:val="0"/>
                <w:sz w:val="24"/>
                <w:szCs w:val="24"/>
              </w:rPr>
            </w:pPr>
            <w:r>
              <w:rPr>
                <w:rFonts w:hint="eastAsia" w:cs="宋体"/>
                <w:color w:val="auto"/>
                <w:kern w:val="0"/>
                <w:sz w:val="24"/>
                <w:szCs w:val="24"/>
              </w:rPr>
              <w:t>勘察企业资质等级要求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28" w:hRule="atLeast"/>
          <w:jc w:val="center"/>
        </w:trPr>
        <w:tc>
          <w:tcPr>
            <w:tcW w:w="8225" w:type="dxa"/>
            <w:tcBorders>
              <w:bottom w:val="single" w:color="auto" w:sz="12" w:space="0"/>
            </w:tcBorders>
            <w:vAlign w:val="center"/>
          </w:tcPr>
          <w:p>
            <w:pPr>
              <w:autoSpaceDE w:val="0"/>
              <w:autoSpaceDN w:val="0"/>
              <w:adjustRightInd w:val="0"/>
              <w:spacing w:line="360" w:lineRule="auto"/>
              <w:ind w:firstLine="480" w:firstLineChars="200"/>
              <w:rPr>
                <w:rFonts w:cs="Times New Roman"/>
                <w:color w:val="auto"/>
                <w:kern w:val="0"/>
                <w:sz w:val="24"/>
                <w:szCs w:val="24"/>
              </w:rPr>
            </w:pPr>
            <w:r>
              <w:rPr>
                <w:rFonts w:hint="eastAsia" w:ascii="Times New Roman" w:cs="宋体"/>
                <w:color w:val="auto"/>
                <w:kern w:val="0"/>
                <w:sz w:val="24"/>
                <w:szCs w:val="24"/>
              </w:rPr>
              <w:t>本次招标资质要求投标人须具备以下资质之一：1、建设行政主管部门核发的工程勘察综合类甲级资质；2、工程勘察专业（岩土工程）甲级资质和工程勘察专业（水文地质）甲级资质。</w:t>
            </w:r>
          </w:p>
        </w:tc>
      </w:tr>
    </w:tbl>
    <w:p>
      <w:pPr>
        <w:pStyle w:val="50"/>
        <w:jc w:val="center"/>
        <w:rPr>
          <w:rFonts w:ascii="黑体" w:eastAsia="黑体" w:cs="Times New Roman"/>
          <w:b/>
          <w:bCs/>
          <w:color w:val="auto"/>
          <w:sz w:val="32"/>
          <w:szCs w:val="32"/>
        </w:rPr>
      </w:pPr>
    </w:p>
    <w:p>
      <w:pPr>
        <w:pStyle w:val="50"/>
        <w:jc w:val="center"/>
        <w:rPr>
          <w:rFonts w:ascii="黑体" w:eastAsia="黑体" w:cs="Times New Roman"/>
          <w:b/>
          <w:bCs/>
          <w:color w:val="auto"/>
          <w:sz w:val="32"/>
          <w:szCs w:val="32"/>
        </w:rPr>
      </w:pPr>
    </w:p>
    <w:p>
      <w:pPr>
        <w:pStyle w:val="50"/>
        <w:jc w:val="center"/>
        <w:rPr>
          <w:rFonts w:ascii="黑体" w:eastAsia="黑体" w:cs="Times New Roman"/>
          <w:b/>
          <w:bCs/>
          <w:color w:val="auto"/>
          <w:sz w:val="32"/>
          <w:szCs w:val="32"/>
        </w:rPr>
      </w:pPr>
    </w:p>
    <w:p>
      <w:pPr>
        <w:pStyle w:val="50"/>
        <w:jc w:val="center"/>
        <w:rPr>
          <w:rFonts w:ascii="黑体" w:eastAsia="黑体" w:cs="Times New Roman"/>
          <w:b/>
          <w:bCs/>
          <w:color w:val="auto"/>
          <w:sz w:val="32"/>
          <w:szCs w:val="32"/>
        </w:rPr>
      </w:pPr>
    </w:p>
    <w:p>
      <w:pPr>
        <w:pStyle w:val="50"/>
        <w:jc w:val="center"/>
        <w:rPr>
          <w:rFonts w:ascii="Times New Roman" w:eastAsia="黑体" w:cs="Times New Roman"/>
          <w:b/>
          <w:bCs/>
          <w:color w:val="auto"/>
          <w:sz w:val="32"/>
          <w:szCs w:val="32"/>
        </w:rPr>
      </w:pPr>
      <w:r>
        <w:rPr>
          <w:rFonts w:hint="eastAsia" w:ascii="黑体" w:eastAsia="黑体" w:cs="黑体"/>
          <w:b/>
          <w:bCs/>
          <w:color w:val="auto"/>
          <w:sz w:val="32"/>
          <w:szCs w:val="32"/>
        </w:rPr>
        <w:t>附录</w:t>
      </w:r>
      <w:r>
        <w:rPr>
          <w:rFonts w:ascii="Times New Roman" w:eastAsia="黑体" w:cs="Times New Roman"/>
          <w:b/>
          <w:bCs/>
          <w:color w:val="auto"/>
          <w:sz w:val="32"/>
          <w:szCs w:val="32"/>
        </w:rPr>
        <w:t xml:space="preserve">2 </w:t>
      </w:r>
      <w:r>
        <w:rPr>
          <w:rFonts w:hint="eastAsia" w:ascii="黑体" w:eastAsia="黑体" w:cs="黑体"/>
          <w:b/>
          <w:bCs/>
          <w:color w:val="auto"/>
          <w:sz w:val="32"/>
          <w:szCs w:val="32"/>
        </w:rPr>
        <w:t>资格审查条件</w:t>
      </w:r>
      <w:r>
        <w:rPr>
          <w:rFonts w:hint="eastAsia" w:ascii="Times New Roman" w:eastAsia="黑体" w:cs="黑体"/>
          <w:b/>
          <w:bCs/>
          <w:color w:val="auto"/>
          <w:sz w:val="32"/>
          <w:szCs w:val="32"/>
        </w:rPr>
        <w:t>（</w:t>
      </w:r>
      <w:r>
        <w:rPr>
          <w:rFonts w:hint="eastAsia" w:ascii="黑体" w:eastAsia="黑体" w:cs="黑体"/>
          <w:b/>
          <w:bCs/>
          <w:color w:val="auto"/>
          <w:sz w:val="32"/>
          <w:szCs w:val="32"/>
        </w:rPr>
        <w:t>业绩最低要求</w:t>
      </w:r>
      <w:r>
        <w:rPr>
          <w:rFonts w:hint="eastAsia" w:ascii="Times New Roman" w:eastAsia="黑体" w:cs="黑体"/>
          <w:b/>
          <w:bCs/>
          <w:color w:val="auto"/>
          <w:sz w:val="32"/>
          <w:szCs w:val="32"/>
        </w:rPr>
        <w:t>）</w:t>
      </w:r>
    </w:p>
    <w:p>
      <w:pPr>
        <w:pStyle w:val="50"/>
        <w:jc w:val="center"/>
        <w:rPr>
          <w:rFonts w:ascii="Times New Roman" w:eastAsia="黑体" w:cs="Times New Roman"/>
          <w:b/>
          <w:bCs/>
          <w:color w:val="auto"/>
          <w:sz w:val="32"/>
          <w:szCs w:val="32"/>
        </w:rPr>
      </w:pPr>
    </w:p>
    <w:tbl>
      <w:tblPr>
        <w:tblStyle w:val="20"/>
        <w:tblW w:w="818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8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182" w:type="dxa"/>
            <w:tcBorders>
              <w:top w:val="single" w:color="auto" w:sz="12" w:space="0"/>
            </w:tcBorders>
            <w:vAlign w:val="center"/>
          </w:tcPr>
          <w:p>
            <w:pPr>
              <w:autoSpaceDE w:val="0"/>
              <w:autoSpaceDN w:val="0"/>
              <w:adjustRightInd w:val="0"/>
              <w:jc w:val="center"/>
              <w:rPr>
                <w:rFonts w:cs="Times New Roman"/>
                <w:color w:val="auto"/>
                <w:kern w:val="0"/>
                <w:sz w:val="24"/>
                <w:szCs w:val="24"/>
              </w:rPr>
            </w:pPr>
            <w:r>
              <w:rPr>
                <w:rFonts w:hint="eastAsia" w:cs="宋体"/>
                <w:color w:val="auto"/>
                <w:kern w:val="0"/>
                <w:sz w:val="24"/>
                <w:szCs w:val="24"/>
              </w:rPr>
              <w:t>业绩要求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14" w:hRule="atLeast"/>
          <w:jc w:val="center"/>
        </w:trPr>
        <w:tc>
          <w:tcPr>
            <w:tcW w:w="8182" w:type="dxa"/>
            <w:tcBorders>
              <w:bottom w:val="single" w:color="auto" w:sz="12" w:space="0"/>
            </w:tcBorders>
            <w:vAlign w:val="center"/>
          </w:tcPr>
          <w:p>
            <w:pPr>
              <w:autoSpaceDE w:val="0"/>
              <w:autoSpaceDN w:val="0"/>
              <w:adjustRightInd w:val="0"/>
              <w:spacing w:line="360" w:lineRule="auto"/>
              <w:ind w:firstLine="240" w:firstLineChars="100"/>
              <w:jc w:val="center"/>
              <w:rPr>
                <w:rFonts w:cs="Times New Roman"/>
                <w:color w:val="auto"/>
                <w:kern w:val="0"/>
                <w:sz w:val="24"/>
                <w:szCs w:val="24"/>
              </w:rPr>
            </w:pPr>
            <w:r>
              <w:rPr>
                <w:rFonts w:hint="eastAsia" w:ascii="Times New Roman" w:cs="宋体"/>
                <w:color w:val="auto"/>
                <w:kern w:val="0"/>
                <w:sz w:val="24"/>
                <w:szCs w:val="24"/>
              </w:rPr>
              <w:t>近五年内（</w:t>
            </w:r>
            <w:r>
              <w:rPr>
                <w:rFonts w:hint="eastAsia" w:ascii="Times New Roman" w:cs="Times New Roman"/>
                <w:color w:val="auto"/>
                <w:kern w:val="0"/>
                <w:sz w:val="24"/>
                <w:szCs w:val="24"/>
              </w:rPr>
              <w:t>2017</w:t>
            </w:r>
            <w:r>
              <w:rPr>
                <w:rFonts w:hint="eastAsia" w:ascii="Times New Roman" w:cs="宋体"/>
                <w:color w:val="auto"/>
                <w:kern w:val="0"/>
                <w:sz w:val="24"/>
                <w:szCs w:val="24"/>
              </w:rPr>
              <w:t>年</w:t>
            </w:r>
            <w:r>
              <w:rPr>
                <w:rFonts w:hint="eastAsia" w:ascii="Times New Roman" w:cs="Times New Roman"/>
                <w:color w:val="auto"/>
                <w:kern w:val="0"/>
                <w:sz w:val="24"/>
                <w:szCs w:val="24"/>
              </w:rPr>
              <w:t>1</w:t>
            </w:r>
            <w:r>
              <w:rPr>
                <w:rFonts w:hint="eastAsia" w:ascii="Times New Roman" w:cs="宋体"/>
                <w:color w:val="auto"/>
                <w:kern w:val="0"/>
                <w:sz w:val="24"/>
                <w:szCs w:val="24"/>
              </w:rPr>
              <w:t>月</w:t>
            </w:r>
            <w:r>
              <w:rPr>
                <w:rFonts w:ascii="Times New Roman" w:cs="Times New Roman"/>
                <w:color w:val="auto"/>
                <w:kern w:val="0"/>
                <w:sz w:val="24"/>
                <w:szCs w:val="24"/>
              </w:rPr>
              <w:t>1</w:t>
            </w:r>
            <w:r>
              <w:rPr>
                <w:rFonts w:hint="eastAsia" w:ascii="Times New Roman" w:cs="宋体"/>
                <w:color w:val="auto"/>
                <w:kern w:val="0"/>
                <w:sz w:val="24"/>
                <w:szCs w:val="24"/>
              </w:rPr>
              <w:t>日至投标截止之日，勘察业绩以签订合同协议书为准）至少完成一项一级或以上公路工程的勘察业绩。</w:t>
            </w:r>
          </w:p>
        </w:tc>
      </w:tr>
    </w:tbl>
    <w:p>
      <w:pPr>
        <w:autoSpaceDE w:val="0"/>
        <w:autoSpaceDN w:val="0"/>
        <w:snapToGrid w:val="0"/>
        <w:jc w:val="center"/>
        <w:rPr>
          <w:rFonts w:ascii="黑体" w:hAnsi="Times New Roman" w:eastAsia="黑体" w:cs="Times New Roman"/>
          <w:b/>
          <w:bCs/>
          <w:color w:val="auto"/>
          <w:kern w:val="0"/>
          <w:sz w:val="32"/>
          <w:szCs w:val="32"/>
        </w:rPr>
      </w:pPr>
    </w:p>
    <w:p>
      <w:pPr>
        <w:autoSpaceDE w:val="0"/>
        <w:autoSpaceDN w:val="0"/>
        <w:snapToGrid w:val="0"/>
        <w:jc w:val="center"/>
        <w:rPr>
          <w:rFonts w:ascii="黑体" w:hAnsi="Times New Roman" w:eastAsia="黑体" w:cs="Times New Roman"/>
          <w:b/>
          <w:bCs/>
          <w:color w:val="auto"/>
          <w:kern w:val="0"/>
          <w:sz w:val="32"/>
          <w:szCs w:val="32"/>
        </w:rPr>
      </w:pPr>
      <w:r>
        <w:rPr>
          <w:rFonts w:ascii="黑体" w:hAnsi="Times New Roman" w:eastAsia="黑体" w:cs="Times New Roman"/>
          <w:b/>
          <w:bCs/>
          <w:color w:val="auto"/>
          <w:kern w:val="0"/>
          <w:sz w:val="32"/>
          <w:szCs w:val="32"/>
        </w:rPr>
        <w:br w:type="page"/>
      </w:r>
    </w:p>
    <w:p>
      <w:pPr>
        <w:autoSpaceDE w:val="0"/>
        <w:autoSpaceDN w:val="0"/>
        <w:snapToGrid w:val="0"/>
        <w:jc w:val="center"/>
        <w:rPr>
          <w:rFonts w:ascii="黑体" w:hAnsi="Times New Roman" w:eastAsia="黑体" w:cs="Times New Roman"/>
          <w:b/>
          <w:bCs/>
          <w:color w:val="auto"/>
          <w:kern w:val="0"/>
          <w:sz w:val="32"/>
          <w:szCs w:val="32"/>
        </w:rPr>
      </w:pPr>
    </w:p>
    <w:p>
      <w:pPr>
        <w:autoSpaceDE w:val="0"/>
        <w:autoSpaceDN w:val="0"/>
        <w:snapToGrid w:val="0"/>
        <w:jc w:val="center"/>
        <w:rPr>
          <w:rFonts w:ascii="Times New Roman" w:hAnsi="Times New Roman" w:eastAsia="黑体" w:cs="Times New Roman"/>
          <w:b/>
          <w:bCs/>
          <w:color w:val="auto"/>
          <w:kern w:val="0"/>
          <w:sz w:val="32"/>
          <w:szCs w:val="32"/>
        </w:rPr>
      </w:pPr>
      <w:r>
        <w:rPr>
          <w:rFonts w:hint="eastAsia" w:ascii="黑体" w:hAnsi="Times New Roman" w:eastAsia="黑体" w:cs="黑体"/>
          <w:b/>
          <w:bCs/>
          <w:color w:val="auto"/>
          <w:kern w:val="0"/>
          <w:sz w:val="32"/>
          <w:szCs w:val="32"/>
        </w:rPr>
        <w:t>附录</w:t>
      </w:r>
      <w:r>
        <w:rPr>
          <w:rFonts w:ascii="Times New Roman" w:hAnsi="Times New Roman" w:eastAsia="黑体" w:cs="Times New Roman"/>
          <w:b/>
          <w:bCs/>
          <w:color w:val="auto"/>
          <w:kern w:val="0"/>
          <w:sz w:val="32"/>
          <w:szCs w:val="32"/>
        </w:rPr>
        <w:t xml:space="preserve">3 </w:t>
      </w:r>
      <w:r>
        <w:rPr>
          <w:rFonts w:hint="eastAsia" w:ascii="黑体" w:hAnsi="Times New Roman" w:eastAsia="黑体" w:cs="黑体"/>
          <w:b/>
          <w:bCs/>
          <w:color w:val="auto"/>
          <w:kern w:val="0"/>
          <w:sz w:val="32"/>
          <w:szCs w:val="32"/>
        </w:rPr>
        <w:t>资格审查条件</w:t>
      </w:r>
      <w:r>
        <w:rPr>
          <w:rFonts w:hint="eastAsia" w:ascii="Times New Roman" w:hAnsi="Times New Roman" w:eastAsia="黑体" w:cs="黑体"/>
          <w:b/>
          <w:bCs/>
          <w:color w:val="auto"/>
          <w:kern w:val="0"/>
          <w:sz w:val="32"/>
          <w:szCs w:val="32"/>
        </w:rPr>
        <w:t>（</w:t>
      </w:r>
      <w:r>
        <w:rPr>
          <w:rFonts w:hint="eastAsia" w:ascii="黑体" w:hAnsi="Times New Roman" w:eastAsia="黑体" w:cs="黑体"/>
          <w:b/>
          <w:bCs/>
          <w:color w:val="auto"/>
          <w:kern w:val="0"/>
          <w:sz w:val="32"/>
          <w:szCs w:val="32"/>
        </w:rPr>
        <w:t>信誉最低要求</w:t>
      </w:r>
      <w:r>
        <w:rPr>
          <w:rFonts w:hint="eastAsia" w:ascii="Times New Roman" w:hAnsi="Times New Roman" w:eastAsia="黑体" w:cs="黑体"/>
          <w:b/>
          <w:bCs/>
          <w:color w:val="auto"/>
          <w:kern w:val="0"/>
          <w:sz w:val="32"/>
          <w:szCs w:val="32"/>
        </w:rPr>
        <w:t>）</w:t>
      </w:r>
    </w:p>
    <w:p>
      <w:pPr>
        <w:autoSpaceDE w:val="0"/>
        <w:autoSpaceDN w:val="0"/>
        <w:snapToGrid w:val="0"/>
        <w:jc w:val="center"/>
        <w:rPr>
          <w:rFonts w:hAnsi="Times New Roman" w:eastAsia="黑体" w:cs="Times New Roman"/>
          <w:b/>
          <w:bCs/>
          <w:color w:val="auto"/>
          <w:sz w:val="32"/>
          <w:szCs w:val="32"/>
        </w:rPr>
      </w:pPr>
    </w:p>
    <w:tbl>
      <w:tblPr>
        <w:tblStyle w:val="20"/>
        <w:tblW w:w="8160" w:type="dxa"/>
        <w:jc w:val="center"/>
        <w:tblLayout w:type="fixed"/>
        <w:tblCellMar>
          <w:top w:w="0" w:type="dxa"/>
          <w:left w:w="0" w:type="dxa"/>
          <w:bottom w:w="0" w:type="dxa"/>
          <w:right w:w="0" w:type="dxa"/>
        </w:tblCellMar>
      </w:tblPr>
      <w:tblGrid>
        <w:gridCol w:w="8160"/>
      </w:tblGrid>
      <w:tr>
        <w:tblPrEx>
          <w:tblCellMar>
            <w:top w:w="0" w:type="dxa"/>
            <w:left w:w="0" w:type="dxa"/>
            <w:bottom w:w="0" w:type="dxa"/>
            <w:right w:w="0" w:type="dxa"/>
          </w:tblCellMar>
        </w:tblPrEx>
        <w:trPr>
          <w:trHeight w:val="516" w:hRule="atLeast"/>
          <w:jc w:val="center"/>
        </w:trPr>
        <w:tc>
          <w:tcPr>
            <w:tcW w:w="8160" w:type="dxa"/>
            <w:tcBorders>
              <w:top w:val="single" w:color="000000" w:sz="12" w:space="0"/>
              <w:left w:val="single" w:color="000000" w:sz="12" w:space="0"/>
              <w:bottom w:val="single" w:color="000000" w:sz="6" w:space="0"/>
              <w:right w:val="single" w:color="000000" w:sz="12" w:space="0"/>
            </w:tcBorders>
            <w:tcMar>
              <w:left w:w="108" w:type="dxa"/>
              <w:right w:w="108" w:type="dxa"/>
            </w:tcMar>
            <w:vAlign w:val="center"/>
          </w:tcPr>
          <w:p>
            <w:pPr>
              <w:autoSpaceDE w:val="0"/>
              <w:autoSpaceDN w:val="0"/>
              <w:snapToGrid w:val="0"/>
              <w:jc w:val="center"/>
              <w:rPr>
                <w:rFonts w:hAnsi="Times New Roman" w:cs="Times New Roman"/>
                <w:color w:val="auto"/>
                <w:sz w:val="24"/>
                <w:szCs w:val="24"/>
              </w:rPr>
            </w:pPr>
            <w:r>
              <w:rPr>
                <w:rFonts w:hint="eastAsia" w:hAnsi="Times New Roman" w:cs="宋体"/>
                <w:color w:val="auto"/>
                <w:kern w:val="0"/>
                <w:sz w:val="24"/>
                <w:szCs w:val="24"/>
              </w:rPr>
              <w:t>信誉要求</w:t>
            </w:r>
          </w:p>
        </w:tc>
      </w:tr>
      <w:tr>
        <w:tblPrEx>
          <w:tblCellMar>
            <w:top w:w="0" w:type="dxa"/>
            <w:left w:w="0" w:type="dxa"/>
            <w:bottom w:w="0" w:type="dxa"/>
            <w:right w:w="0" w:type="dxa"/>
          </w:tblCellMar>
        </w:tblPrEx>
        <w:trPr>
          <w:trHeight w:val="4030" w:hRule="atLeast"/>
          <w:jc w:val="center"/>
        </w:trPr>
        <w:tc>
          <w:tcPr>
            <w:tcW w:w="8160" w:type="dxa"/>
            <w:tcBorders>
              <w:top w:val="single" w:color="000000" w:sz="6" w:space="0"/>
              <w:left w:val="single" w:color="000000" w:sz="12" w:space="0"/>
              <w:bottom w:val="single" w:color="000000" w:sz="12" w:space="0"/>
              <w:right w:val="single" w:color="000000" w:sz="12" w:space="0"/>
            </w:tcBorders>
            <w:tcMar>
              <w:left w:w="108" w:type="dxa"/>
              <w:right w:w="108" w:type="dxa"/>
            </w:tcMar>
            <w:vAlign w:val="center"/>
          </w:tcPr>
          <w:p>
            <w:pPr>
              <w:autoSpaceDE w:val="0"/>
              <w:autoSpaceDN w:val="0"/>
              <w:adjustRightInd w:val="0"/>
              <w:spacing w:line="360" w:lineRule="auto"/>
              <w:ind w:firstLine="480" w:firstLineChars="200"/>
              <w:rPr>
                <w:rFonts w:cs="Times New Roman"/>
                <w:color w:val="auto"/>
                <w:sz w:val="24"/>
                <w:szCs w:val="24"/>
              </w:rPr>
            </w:pPr>
            <w:r>
              <w:rPr>
                <w:rFonts w:hint="eastAsia" w:ascii="宋体" w:hAnsi="宋体" w:cs="宋体"/>
                <w:color w:val="auto"/>
                <w:sz w:val="24"/>
                <w:szCs w:val="24"/>
                <w:lang w:val="zh-CN"/>
              </w:rPr>
              <w:t>在交通运输部</w:t>
            </w:r>
            <w:r>
              <w:rPr>
                <w:rFonts w:hint="eastAsia" w:ascii="宋体" w:hAnsi="宋体" w:cs="宋体"/>
                <w:color w:val="auto"/>
                <w:sz w:val="24"/>
                <w:szCs w:val="24"/>
              </w:rPr>
              <w:t>2020</w:t>
            </w:r>
            <w:r>
              <w:rPr>
                <w:rFonts w:hint="eastAsia" w:ascii="宋体" w:hAnsi="宋体" w:cs="宋体"/>
                <w:color w:val="auto"/>
                <w:sz w:val="24"/>
                <w:szCs w:val="24"/>
                <w:lang w:val="zh-CN"/>
              </w:rPr>
              <w:t>年度公路建设市场信用等级评价或</w:t>
            </w:r>
            <w:r>
              <w:rPr>
                <w:rFonts w:hint="eastAsia" w:ascii="宋体" w:hAnsi="宋体" w:cs="宋体"/>
                <w:color w:val="auto"/>
                <w:sz w:val="24"/>
                <w:szCs w:val="24"/>
              </w:rPr>
              <w:t>2020</w:t>
            </w:r>
            <w:r>
              <w:rPr>
                <w:rFonts w:hint="eastAsia" w:ascii="宋体" w:hAnsi="宋体" w:cs="宋体"/>
                <w:color w:val="auto"/>
                <w:sz w:val="24"/>
                <w:szCs w:val="24"/>
                <w:lang w:val="zh-CN"/>
              </w:rPr>
              <w:t>年度天津市公路建设市场信用等级评价均被评为</w:t>
            </w:r>
            <w:r>
              <w:rPr>
                <w:rFonts w:ascii="宋体" w:hAnsi="宋体" w:cs="宋体"/>
                <w:color w:val="auto"/>
                <w:sz w:val="24"/>
                <w:szCs w:val="24"/>
              </w:rPr>
              <w:t>C</w:t>
            </w:r>
            <w:r>
              <w:rPr>
                <w:rFonts w:hint="eastAsia" w:ascii="宋体" w:hAnsi="宋体" w:cs="宋体"/>
                <w:color w:val="auto"/>
                <w:sz w:val="24"/>
                <w:szCs w:val="24"/>
                <w:lang w:val="zh-CN"/>
              </w:rPr>
              <w:t>级或以上</w:t>
            </w:r>
            <w:r>
              <w:rPr>
                <w:rFonts w:hint="eastAsia" w:ascii="宋体" w:hAnsi="宋体" w:cs="宋体"/>
                <w:color w:val="auto"/>
                <w:sz w:val="24"/>
                <w:szCs w:val="24"/>
              </w:rPr>
              <w:t>（</w:t>
            </w:r>
            <w:r>
              <w:rPr>
                <w:rFonts w:hint="eastAsia" w:ascii="宋体" w:hAnsi="宋体" w:cs="宋体"/>
                <w:color w:val="auto"/>
                <w:sz w:val="24"/>
                <w:szCs w:val="24"/>
                <w:lang w:val="zh-CN"/>
              </w:rPr>
              <w:t>被交通运输部或天津市公路主管部门评为</w:t>
            </w:r>
            <w:r>
              <w:rPr>
                <w:rFonts w:ascii="宋体" w:hAnsi="宋体" w:cs="宋体"/>
                <w:color w:val="auto"/>
                <w:sz w:val="24"/>
                <w:szCs w:val="24"/>
              </w:rPr>
              <w:t>C</w:t>
            </w:r>
            <w:r>
              <w:rPr>
                <w:rFonts w:hint="eastAsia" w:ascii="宋体" w:hAnsi="宋体" w:cs="宋体"/>
                <w:color w:val="auto"/>
                <w:sz w:val="24"/>
                <w:szCs w:val="24"/>
                <w:lang w:val="zh-CN"/>
              </w:rPr>
              <w:t>级的单位禁止在天津市参加特大型桥梁工程投标</w:t>
            </w:r>
            <w:r>
              <w:rPr>
                <w:rFonts w:hint="eastAsia" w:ascii="宋体" w:hAnsi="宋体" w:cs="宋体"/>
                <w:color w:val="auto"/>
                <w:sz w:val="24"/>
                <w:szCs w:val="24"/>
              </w:rPr>
              <w:t>），</w:t>
            </w:r>
            <w:r>
              <w:rPr>
                <w:rFonts w:hint="eastAsia" w:ascii="宋体" w:hAnsi="宋体" w:cs="宋体"/>
                <w:color w:val="auto"/>
                <w:sz w:val="24"/>
                <w:szCs w:val="24"/>
                <w:lang w:val="zh-CN"/>
              </w:rPr>
              <w:t>且企业在国家企业信用信息公示系统</w:t>
            </w:r>
            <w:r>
              <w:rPr>
                <w:rFonts w:hint="eastAsia" w:ascii="宋体" w:hAnsi="宋体" w:cs="宋体"/>
                <w:color w:val="auto"/>
                <w:sz w:val="24"/>
                <w:szCs w:val="24"/>
              </w:rPr>
              <w:t>（</w:t>
            </w:r>
            <w:r>
              <w:rPr>
                <w:rFonts w:ascii="宋体" w:hAnsi="宋体" w:cs="宋体"/>
                <w:color w:val="auto"/>
                <w:sz w:val="24"/>
                <w:szCs w:val="24"/>
              </w:rPr>
              <w:t>http://gsxt.saic.gov.cn/</w:t>
            </w:r>
            <w:r>
              <w:rPr>
                <w:rFonts w:hint="eastAsia" w:ascii="宋体" w:hAnsi="宋体" w:cs="宋体"/>
                <w:color w:val="auto"/>
                <w:sz w:val="24"/>
                <w:szCs w:val="24"/>
              </w:rPr>
              <w:t>）</w:t>
            </w:r>
            <w:r>
              <w:rPr>
                <w:rFonts w:hint="eastAsia" w:ascii="宋体" w:hAnsi="宋体" w:cs="宋体"/>
                <w:color w:val="auto"/>
                <w:sz w:val="24"/>
                <w:szCs w:val="24"/>
                <w:lang w:val="zh-CN"/>
              </w:rPr>
              <w:t>中无经营异常情况。</w:t>
            </w:r>
          </w:p>
        </w:tc>
      </w:tr>
    </w:tbl>
    <w:p>
      <w:pPr>
        <w:autoSpaceDE w:val="0"/>
        <w:autoSpaceDN w:val="0"/>
        <w:snapToGrid w:val="0"/>
        <w:jc w:val="center"/>
        <w:rPr>
          <w:rFonts w:ascii="黑体" w:hAnsi="Times New Roman" w:eastAsia="黑体" w:cs="Times New Roman"/>
          <w:b/>
          <w:bCs/>
          <w:color w:val="auto"/>
          <w:kern w:val="0"/>
          <w:sz w:val="32"/>
          <w:szCs w:val="32"/>
        </w:rPr>
      </w:pPr>
    </w:p>
    <w:p>
      <w:pPr>
        <w:autoSpaceDE w:val="0"/>
        <w:autoSpaceDN w:val="0"/>
        <w:snapToGrid w:val="0"/>
        <w:jc w:val="center"/>
        <w:rPr>
          <w:rFonts w:ascii="黑体" w:hAnsi="Times New Roman" w:eastAsia="黑体" w:cs="Times New Roman"/>
          <w:b/>
          <w:bCs/>
          <w:color w:val="auto"/>
          <w:kern w:val="0"/>
          <w:sz w:val="32"/>
          <w:szCs w:val="32"/>
        </w:rPr>
      </w:pPr>
    </w:p>
    <w:p>
      <w:pPr>
        <w:autoSpaceDE w:val="0"/>
        <w:autoSpaceDN w:val="0"/>
        <w:snapToGrid w:val="0"/>
        <w:jc w:val="center"/>
        <w:rPr>
          <w:rFonts w:ascii="Times New Roman" w:hAnsi="Times New Roman" w:eastAsia="黑体" w:cs="Times New Roman"/>
          <w:b/>
          <w:bCs/>
          <w:color w:val="auto"/>
          <w:kern w:val="0"/>
          <w:sz w:val="32"/>
          <w:szCs w:val="32"/>
        </w:rPr>
      </w:pPr>
      <w:r>
        <w:rPr>
          <w:rFonts w:hint="eastAsia" w:ascii="黑体" w:hAnsi="Times New Roman" w:eastAsia="黑体" w:cs="黑体"/>
          <w:b/>
          <w:bCs/>
          <w:color w:val="auto"/>
          <w:kern w:val="0"/>
          <w:sz w:val="32"/>
          <w:szCs w:val="32"/>
        </w:rPr>
        <w:t>附录</w:t>
      </w:r>
      <w:r>
        <w:rPr>
          <w:rFonts w:ascii="Times New Roman" w:hAnsi="Times New Roman" w:eastAsia="黑体" w:cs="Times New Roman"/>
          <w:b/>
          <w:bCs/>
          <w:color w:val="auto"/>
          <w:kern w:val="0"/>
          <w:sz w:val="32"/>
          <w:szCs w:val="32"/>
        </w:rPr>
        <w:t xml:space="preserve">4 </w:t>
      </w:r>
      <w:r>
        <w:rPr>
          <w:rFonts w:hint="eastAsia" w:ascii="黑体" w:hAnsi="Times New Roman" w:eastAsia="黑体" w:cs="黑体"/>
          <w:b/>
          <w:bCs/>
          <w:color w:val="auto"/>
          <w:kern w:val="0"/>
          <w:sz w:val="32"/>
          <w:szCs w:val="32"/>
        </w:rPr>
        <w:t>资格审查条件</w:t>
      </w:r>
      <w:r>
        <w:rPr>
          <w:rFonts w:hint="eastAsia" w:ascii="Times New Roman" w:hAnsi="Times New Roman" w:eastAsia="黑体" w:cs="黑体"/>
          <w:b/>
          <w:bCs/>
          <w:color w:val="auto"/>
          <w:kern w:val="0"/>
          <w:sz w:val="32"/>
          <w:szCs w:val="32"/>
        </w:rPr>
        <w:t>（</w:t>
      </w:r>
      <w:r>
        <w:rPr>
          <w:rFonts w:hint="eastAsia" w:ascii="黑体" w:hAnsi="Times New Roman" w:eastAsia="黑体" w:cs="黑体"/>
          <w:b/>
          <w:bCs/>
          <w:color w:val="auto"/>
          <w:kern w:val="0"/>
          <w:sz w:val="32"/>
          <w:szCs w:val="32"/>
        </w:rPr>
        <w:t>项目负责人最低要求</w:t>
      </w:r>
      <w:r>
        <w:rPr>
          <w:rFonts w:hint="eastAsia" w:ascii="Times New Roman" w:hAnsi="Times New Roman" w:eastAsia="黑体" w:cs="黑体"/>
          <w:b/>
          <w:bCs/>
          <w:color w:val="auto"/>
          <w:kern w:val="0"/>
          <w:sz w:val="32"/>
          <w:szCs w:val="32"/>
        </w:rPr>
        <w:t>）</w:t>
      </w:r>
    </w:p>
    <w:p>
      <w:pPr>
        <w:autoSpaceDE w:val="0"/>
        <w:autoSpaceDN w:val="0"/>
        <w:snapToGrid w:val="0"/>
        <w:jc w:val="center"/>
        <w:rPr>
          <w:rFonts w:ascii="黑体" w:hAnsi="Times New Roman" w:eastAsia="黑体" w:cs="Times New Roman"/>
          <w:b/>
          <w:bCs/>
          <w:color w:val="auto"/>
          <w:sz w:val="32"/>
          <w:szCs w:val="32"/>
        </w:rPr>
      </w:pPr>
    </w:p>
    <w:tbl>
      <w:tblPr>
        <w:tblStyle w:val="20"/>
        <w:tblW w:w="81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749"/>
        <w:gridCol w:w="1257"/>
        <w:gridCol w:w="414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749" w:type="dxa"/>
            <w:tcBorders>
              <w:top w:val="single" w:color="auto" w:sz="12" w:space="0"/>
            </w:tcBorders>
            <w:vAlign w:val="center"/>
          </w:tcPr>
          <w:p>
            <w:pPr>
              <w:autoSpaceDE w:val="0"/>
              <w:autoSpaceDN w:val="0"/>
              <w:adjustRightInd w:val="0"/>
              <w:jc w:val="center"/>
              <w:rPr>
                <w:rFonts w:cs="Times New Roman"/>
                <w:color w:val="auto"/>
                <w:kern w:val="0"/>
                <w:sz w:val="24"/>
                <w:szCs w:val="24"/>
              </w:rPr>
            </w:pPr>
            <w:r>
              <w:rPr>
                <w:rFonts w:hint="eastAsia" w:cs="宋体"/>
                <w:color w:val="auto"/>
                <w:kern w:val="0"/>
                <w:sz w:val="24"/>
                <w:szCs w:val="24"/>
              </w:rPr>
              <w:t>人员</w:t>
            </w:r>
          </w:p>
        </w:tc>
        <w:tc>
          <w:tcPr>
            <w:tcW w:w="1257" w:type="dxa"/>
            <w:tcBorders>
              <w:top w:val="single" w:color="auto" w:sz="12" w:space="0"/>
            </w:tcBorders>
            <w:vAlign w:val="center"/>
          </w:tcPr>
          <w:p>
            <w:pPr>
              <w:autoSpaceDE w:val="0"/>
              <w:autoSpaceDN w:val="0"/>
              <w:adjustRightInd w:val="0"/>
              <w:jc w:val="center"/>
              <w:rPr>
                <w:rFonts w:cs="Times New Roman"/>
                <w:color w:val="auto"/>
                <w:kern w:val="0"/>
                <w:sz w:val="24"/>
                <w:szCs w:val="24"/>
              </w:rPr>
            </w:pPr>
            <w:r>
              <w:rPr>
                <w:rFonts w:hint="eastAsia" w:cs="宋体"/>
                <w:color w:val="auto"/>
                <w:kern w:val="0"/>
                <w:sz w:val="24"/>
                <w:szCs w:val="24"/>
              </w:rPr>
              <w:t>数量</w:t>
            </w:r>
          </w:p>
        </w:tc>
        <w:tc>
          <w:tcPr>
            <w:tcW w:w="4148" w:type="dxa"/>
            <w:tcBorders>
              <w:top w:val="single" w:color="auto" w:sz="12" w:space="0"/>
            </w:tcBorders>
            <w:vAlign w:val="center"/>
          </w:tcPr>
          <w:p>
            <w:pPr>
              <w:autoSpaceDE w:val="0"/>
              <w:autoSpaceDN w:val="0"/>
              <w:adjustRightInd w:val="0"/>
              <w:jc w:val="center"/>
              <w:rPr>
                <w:rFonts w:cs="Times New Roman"/>
                <w:color w:val="auto"/>
                <w:kern w:val="0"/>
                <w:sz w:val="24"/>
                <w:szCs w:val="24"/>
              </w:rPr>
            </w:pPr>
            <w:r>
              <w:rPr>
                <w:rFonts w:hint="eastAsia" w:cs="宋体"/>
                <w:color w:val="auto"/>
                <w:kern w:val="0"/>
                <w:sz w:val="24"/>
                <w:szCs w:val="24"/>
              </w:rPr>
              <w:t>资格要求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26" w:hRule="atLeast"/>
          <w:jc w:val="center"/>
        </w:trPr>
        <w:tc>
          <w:tcPr>
            <w:tcW w:w="2749" w:type="dxa"/>
            <w:tcBorders>
              <w:bottom w:val="single" w:color="auto" w:sz="12" w:space="0"/>
            </w:tcBorders>
            <w:vAlign w:val="center"/>
          </w:tcPr>
          <w:p>
            <w:pPr>
              <w:autoSpaceDE w:val="0"/>
              <w:autoSpaceDN w:val="0"/>
              <w:adjustRightInd w:val="0"/>
              <w:jc w:val="center"/>
              <w:rPr>
                <w:rFonts w:cs="Times New Roman"/>
                <w:color w:val="auto"/>
                <w:kern w:val="0"/>
                <w:sz w:val="24"/>
                <w:szCs w:val="24"/>
              </w:rPr>
            </w:pPr>
            <w:r>
              <w:rPr>
                <w:rFonts w:hint="eastAsia" w:cs="宋体"/>
                <w:color w:val="auto"/>
                <w:kern w:val="0"/>
                <w:sz w:val="24"/>
                <w:szCs w:val="24"/>
              </w:rPr>
              <w:t>项目负责人</w:t>
            </w:r>
          </w:p>
        </w:tc>
        <w:tc>
          <w:tcPr>
            <w:tcW w:w="1257" w:type="dxa"/>
            <w:tcBorders>
              <w:bottom w:val="single" w:color="auto" w:sz="12" w:space="0"/>
            </w:tcBorders>
            <w:vAlign w:val="center"/>
          </w:tcPr>
          <w:p>
            <w:pPr>
              <w:autoSpaceDE w:val="0"/>
              <w:autoSpaceDN w:val="0"/>
              <w:adjustRightInd w:val="0"/>
              <w:jc w:val="center"/>
              <w:rPr>
                <w:color w:val="auto"/>
                <w:kern w:val="0"/>
                <w:sz w:val="24"/>
                <w:szCs w:val="24"/>
              </w:rPr>
            </w:pPr>
            <w:r>
              <w:rPr>
                <w:color w:val="auto"/>
                <w:kern w:val="0"/>
                <w:sz w:val="24"/>
                <w:szCs w:val="24"/>
              </w:rPr>
              <w:t>1</w:t>
            </w:r>
          </w:p>
        </w:tc>
        <w:tc>
          <w:tcPr>
            <w:tcW w:w="4148" w:type="dxa"/>
            <w:tcBorders>
              <w:bottom w:val="single" w:color="auto" w:sz="12" w:space="0"/>
            </w:tcBorders>
            <w:vAlign w:val="center"/>
          </w:tcPr>
          <w:p>
            <w:pPr>
              <w:rPr>
                <w:rFonts w:cs="Times New Roman"/>
                <w:color w:val="auto"/>
              </w:rPr>
            </w:pPr>
            <w:r>
              <w:rPr>
                <w:rFonts w:hint="eastAsia" w:cs="宋体"/>
                <w:color w:val="auto"/>
                <w:kern w:val="0"/>
                <w:sz w:val="24"/>
                <w:szCs w:val="24"/>
              </w:rPr>
              <w:t>岩土工程勘察类高级工程师职称，作为项目负责人近五年（</w:t>
            </w:r>
            <w:r>
              <w:rPr>
                <w:rFonts w:hint="eastAsia"/>
                <w:color w:val="auto"/>
                <w:kern w:val="0"/>
                <w:sz w:val="24"/>
                <w:szCs w:val="24"/>
              </w:rPr>
              <w:t>2017</w:t>
            </w:r>
            <w:r>
              <w:rPr>
                <w:rFonts w:hint="eastAsia" w:cs="宋体"/>
                <w:color w:val="auto"/>
                <w:kern w:val="0"/>
                <w:sz w:val="24"/>
                <w:szCs w:val="24"/>
              </w:rPr>
              <w:t>年</w:t>
            </w:r>
            <w:r>
              <w:rPr>
                <w:color w:val="auto"/>
                <w:kern w:val="0"/>
                <w:sz w:val="24"/>
                <w:szCs w:val="24"/>
              </w:rPr>
              <w:t>1</w:t>
            </w:r>
            <w:r>
              <w:rPr>
                <w:rFonts w:hint="eastAsia" w:cs="宋体"/>
                <w:color w:val="auto"/>
                <w:kern w:val="0"/>
                <w:sz w:val="24"/>
                <w:szCs w:val="24"/>
              </w:rPr>
              <w:t>月</w:t>
            </w:r>
            <w:r>
              <w:rPr>
                <w:color w:val="auto"/>
                <w:kern w:val="0"/>
                <w:sz w:val="24"/>
                <w:szCs w:val="24"/>
              </w:rPr>
              <w:t>1</w:t>
            </w:r>
            <w:r>
              <w:rPr>
                <w:rFonts w:hint="eastAsia" w:cs="宋体"/>
                <w:color w:val="auto"/>
                <w:kern w:val="0"/>
                <w:sz w:val="24"/>
                <w:szCs w:val="24"/>
              </w:rPr>
              <w:t>日至投标截止之日）至少完成过一项</w:t>
            </w:r>
            <w:r>
              <w:rPr>
                <w:rFonts w:hint="eastAsia" w:ascii="Times New Roman" w:cs="宋体"/>
                <w:color w:val="auto"/>
                <w:kern w:val="0"/>
                <w:sz w:val="24"/>
                <w:szCs w:val="24"/>
              </w:rPr>
              <w:t>一级或以上公路</w:t>
            </w:r>
            <w:r>
              <w:rPr>
                <w:rFonts w:hint="eastAsia" w:cs="宋体"/>
                <w:color w:val="auto"/>
                <w:kern w:val="0"/>
                <w:sz w:val="24"/>
                <w:szCs w:val="24"/>
              </w:rPr>
              <w:t>工程的勘察工作。</w:t>
            </w:r>
          </w:p>
        </w:tc>
      </w:tr>
    </w:tbl>
    <w:p>
      <w:pPr>
        <w:autoSpaceDE w:val="0"/>
        <w:autoSpaceDN w:val="0"/>
        <w:snapToGrid w:val="0"/>
        <w:jc w:val="left"/>
        <w:rPr>
          <w:rFonts w:cs="Times New Roman"/>
          <w:b/>
          <w:bCs/>
          <w:color w:val="auto"/>
          <w:kern w:val="0"/>
          <w:sz w:val="28"/>
          <w:szCs w:val="28"/>
        </w:rPr>
      </w:pPr>
    </w:p>
    <w:p>
      <w:pPr>
        <w:autoSpaceDE w:val="0"/>
        <w:autoSpaceDN w:val="0"/>
        <w:snapToGrid w:val="0"/>
        <w:spacing w:line="360" w:lineRule="auto"/>
        <w:jc w:val="left"/>
        <w:rPr>
          <w:rFonts w:cs="Times New Roman"/>
          <w:color w:val="auto"/>
        </w:rPr>
      </w:pPr>
      <w:r>
        <w:rPr>
          <w:rFonts w:hint="eastAsia" w:cs="宋体"/>
          <w:color w:val="auto"/>
        </w:rPr>
        <w:t>注：岩土工程相关专业职称是指岩土工程、工程地质、地质工程、工程地质和水文地质、工程物探等专业职称。</w:t>
      </w:r>
    </w:p>
    <w:p>
      <w:pPr>
        <w:autoSpaceDE w:val="0"/>
        <w:autoSpaceDN w:val="0"/>
        <w:snapToGrid w:val="0"/>
        <w:spacing w:line="360" w:lineRule="auto"/>
        <w:ind w:firstLine="301" w:firstLineChars="100"/>
        <w:jc w:val="left"/>
        <w:rPr>
          <w:rFonts w:ascii="黑体" w:hAnsi="黑体" w:eastAsia="黑体" w:cs="黑体"/>
          <w:b/>
          <w:bCs/>
          <w:color w:val="auto"/>
          <w:sz w:val="30"/>
          <w:szCs w:val="30"/>
        </w:rPr>
      </w:pPr>
      <w:r>
        <w:rPr>
          <w:rFonts w:ascii="黑体" w:hAnsi="黑体" w:eastAsia="黑体" w:cs="Times New Roman"/>
          <w:b/>
          <w:bCs/>
          <w:color w:val="auto"/>
          <w:sz w:val="30"/>
          <w:szCs w:val="30"/>
        </w:rPr>
        <w:br w:type="page"/>
      </w:r>
      <w:r>
        <w:rPr>
          <w:rFonts w:ascii="黑体" w:hAnsi="黑体" w:eastAsia="黑体" w:cs="黑体"/>
          <w:b/>
          <w:bCs/>
          <w:color w:val="auto"/>
          <w:sz w:val="30"/>
          <w:szCs w:val="30"/>
        </w:rPr>
        <w:t xml:space="preserve">1. </w:t>
      </w:r>
      <w:r>
        <w:rPr>
          <w:rFonts w:hint="eastAsia" w:ascii="黑体" w:hAnsi="黑体" w:eastAsia="黑体" w:cs="黑体"/>
          <w:b/>
          <w:bCs/>
          <w:color w:val="auto"/>
          <w:sz w:val="30"/>
          <w:szCs w:val="30"/>
        </w:rPr>
        <w:t>总则</w:t>
      </w:r>
    </w:p>
    <w:p>
      <w:pPr>
        <w:autoSpaceDE w:val="0"/>
        <w:autoSpaceDN w:val="0"/>
        <w:snapToGrid w:val="0"/>
        <w:spacing w:line="360" w:lineRule="auto"/>
        <w:jc w:val="left"/>
        <w:rPr>
          <w:rFonts w:ascii="黑体" w:hAnsi="Times New Roman" w:eastAsia="黑体" w:cs="黑体"/>
          <w:color w:val="auto"/>
          <w:sz w:val="24"/>
          <w:szCs w:val="24"/>
        </w:rPr>
      </w:pPr>
      <w:r>
        <w:rPr>
          <w:rFonts w:hAnsi="Times New Roman" w:eastAsia="黑体"/>
          <w:color w:val="auto"/>
          <w:sz w:val="24"/>
          <w:szCs w:val="24"/>
        </w:rPr>
        <w:t xml:space="preserve">1.1 </w:t>
      </w:r>
      <w:r>
        <w:rPr>
          <w:rFonts w:hint="eastAsia" w:ascii="黑体" w:hAnsi="Times New Roman" w:eastAsia="黑体" w:cs="黑体"/>
          <w:color w:val="auto"/>
          <w:sz w:val="24"/>
          <w:szCs w:val="24"/>
        </w:rPr>
        <w:t>项目概况</w:t>
      </w:r>
    </w:p>
    <w:p>
      <w:pPr>
        <w:autoSpaceDE w:val="0"/>
        <w:autoSpaceDN w:val="0"/>
        <w:snapToGrid w:val="0"/>
        <w:spacing w:line="360" w:lineRule="auto"/>
        <w:ind w:firstLine="480"/>
        <w:jc w:val="left"/>
        <w:rPr>
          <w:rFonts w:hAnsi="Times New Roman"/>
          <w:color w:val="auto"/>
          <w:sz w:val="24"/>
          <w:szCs w:val="24"/>
        </w:rPr>
      </w:pPr>
      <w:r>
        <w:rPr>
          <w:rFonts w:hAnsi="Times New Roman" w:eastAsia="黑体"/>
          <w:color w:val="auto"/>
          <w:sz w:val="24"/>
          <w:szCs w:val="24"/>
        </w:rPr>
        <w:t>1.1.1</w:t>
      </w:r>
      <w:r>
        <w:rPr>
          <w:rFonts w:hint="eastAsia" w:hAnsi="Times New Roman" w:cs="宋体"/>
          <w:color w:val="auto"/>
          <w:sz w:val="24"/>
          <w:szCs w:val="24"/>
        </w:rPr>
        <w:t>根据《中华人民共和国招标投标法》《中华人民共和国招标投标法实施条例》《公路工程建设项目招标投标法管理办法》等有关法律、法规和规章的规定，本招标项目已具备招标条件，现对本项目勘察进行招标。</w:t>
      </w:r>
    </w:p>
    <w:p>
      <w:pPr>
        <w:autoSpaceDE w:val="0"/>
        <w:autoSpaceDN w:val="0"/>
        <w:snapToGrid w:val="0"/>
        <w:spacing w:line="360" w:lineRule="auto"/>
        <w:ind w:firstLine="480"/>
        <w:jc w:val="left"/>
        <w:rPr>
          <w:rFonts w:hAnsi="Times New Roman" w:cs="Times New Roman"/>
          <w:color w:val="auto"/>
          <w:sz w:val="24"/>
          <w:szCs w:val="24"/>
        </w:rPr>
      </w:pPr>
      <w:r>
        <w:rPr>
          <w:rFonts w:hAnsi="Times New Roman"/>
          <w:color w:val="auto"/>
          <w:sz w:val="24"/>
          <w:szCs w:val="24"/>
        </w:rPr>
        <w:t xml:space="preserve">1.1.2 </w:t>
      </w:r>
      <w:r>
        <w:rPr>
          <w:rFonts w:hint="eastAsia" w:hAnsi="Times New Roman" w:cs="宋体"/>
          <w:color w:val="auto"/>
          <w:sz w:val="24"/>
          <w:szCs w:val="24"/>
        </w:rPr>
        <w:t>本招标项目招标人：见投标人须知前附表。</w:t>
      </w:r>
    </w:p>
    <w:p>
      <w:pPr>
        <w:autoSpaceDE w:val="0"/>
        <w:autoSpaceDN w:val="0"/>
        <w:snapToGrid w:val="0"/>
        <w:spacing w:line="360" w:lineRule="auto"/>
        <w:ind w:firstLine="480"/>
        <w:jc w:val="left"/>
        <w:rPr>
          <w:rFonts w:hAnsi="Times New Roman" w:cs="Times New Roman"/>
          <w:color w:val="auto"/>
          <w:sz w:val="24"/>
          <w:szCs w:val="24"/>
        </w:rPr>
      </w:pPr>
      <w:r>
        <w:rPr>
          <w:rFonts w:hAnsi="Times New Roman"/>
          <w:color w:val="auto"/>
          <w:sz w:val="24"/>
          <w:szCs w:val="24"/>
        </w:rPr>
        <w:t xml:space="preserve">1.1.3 </w:t>
      </w:r>
      <w:r>
        <w:rPr>
          <w:rFonts w:hint="eastAsia" w:hAnsi="Times New Roman" w:cs="宋体"/>
          <w:color w:val="auto"/>
          <w:sz w:val="24"/>
          <w:szCs w:val="24"/>
        </w:rPr>
        <w:t>本标段招标代理机构：见投标人须知前附表。</w:t>
      </w:r>
    </w:p>
    <w:p>
      <w:pPr>
        <w:autoSpaceDE w:val="0"/>
        <w:autoSpaceDN w:val="0"/>
        <w:snapToGrid w:val="0"/>
        <w:spacing w:line="360" w:lineRule="auto"/>
        <w:ind w:firstLine="480"/>
        <w:jc w:val="left"/>
        <w:rPr>
          <w:rFonts w:hAnsi="Times New Roman" w:cs="Times New Roman"/>
          <w:color w:val="auto"/>
          <w:sz w:val="24"/>
          <w:szCs w:val="24"/>
        </w:rPr>
      </w:pPr>
      <w:r>
        <w:rPr>
          <w:rFonts w:hAnsi="Times New Roman"/>
          <w:color w:val="auto"/>
          <w:sz w:val="24"/>
          <w:szCs w:val="24"/>
        </w:rPr>
        <w:t xml:space="preserve">1.1.4 </w:t>
      </w:r>
      <w:r>
        <w:rPr>
          <w:rFonts w:hint="eastAsia" w:hAnsi="Times New Roman" w:cs="宋体"/>
          <w:color w:val="auto"/>
          <w:sz w:val="24"/>
          <w:szCs w:val="24"/>
        </w:rPr>
        <w:t>本招标项目名称：见投标人须知前附表。</w:t>
      </w:r>
    </w:p>
    <w:p>
      <w:pPr>
        <w:autoSpaceDE w:val="0"/>
        <w:autoSpaceDN w:val="0"/>
        <w:snapToGrid w:val="0"/>
        <w:spacing w:line="360" w:lineRule="auto"/>
        <w:ind w:firstLine="480"/>
        <w:jc w:val="left"/>
        <w:rPr>
          <w:rFonts w:hAnsi="Times New Roman" w:cs="Times New Roman"/>
          <w:color w:val="auto"/>
          <w:sz w:val="24"/>
          <w:szCs w:val="24"/>
        </w:rPr>
      </w:pPr>
      <w:r>
        <w:rPr>
          <w:rFonts w:hAnsi="Times New Roman"/>
          <w:color w:val="auto"/>
          <w:sz w:val="24"/>
          <w:szCs w:val="24"/>
        </w:rPr>
        <w:t xml:space="preserve">1.1.5 </w:t>
      </w:r>
      <w:r>
        <w:rPr>
          <w:rFonts w:hint="eastAsia" w:hAnsi="Times New Roman" w:cs="宋体"/>
          <w:color w:val="auto"/>
          <w:sz w:val="24"/>
          <w:szCs w:val="24"/>
        </w:rPr>
        <w:t>本标段建设地点：见投标人须知前附表。</w:t>
      </w:r>
    </w:p>
    <w:p>
      <w:pPr>
        <w:autoSpaceDE w:val="0"/>
        <w:autoSpaceDN w:val="0"/>
        <w:snapToGrid w:val="0"/>
        <w:spacing w:line="360" w:lineRule="auto"/>
        <w:ind w:firstLine="480"/>
        <w:jc w:val="left"/>
        <w:rPr>
          <w:rFonts w:hAnsi="Times New Roman" w:cs="Times New Roman"/>
          <w:color w:val="auto"/>
          <w:sz w:val="24"/>
          <w:szCs w:val="24"/>
        </w:rPr>
      </w:pPr>
      <w:r>
        <w:rPr>
          <w:rFonts w:hAnsi="Times New Roman"/>
          <w:color w:val="auto"/>
          <w:sz w:val="24"/>
          <w:szCs w:val="24"/>
        </w:rPr>
        <w:t xml:space="preserve">1.1.6 </w:t>
      </w:r>
      <w:r>
        <w:rPr>
          <w:rFonts w:hint="eastAsia" w:hAnsi="Times New Roman" w:cs="宋体"/>
          <w:color w:val="auto"/>
          <w:sz w:val="24"/>
          <w:szCs w:val="24"/>
        </w:rPr>
        <w:t>本标段建设规模：见投标人须知前附表。</w:t>
      </w:r>
    </w:p>
    <w:p>
      <w:pPr>
        <w:autoSpaceDE w:val="0"/>
        <w:autoSpaceDN w:val="0"/>
        <w:snapToGrid w:val="0"/>
        <w:spacing w:line="360" w:lineRule="auto"/>
        <w:ind w:firstLine="480"/>
        <w:jc w:val="left"/>
        <w:rPr>
          <w:rFonts w:hAnsi="Times New Roman" w:cs="Times New Roman"/>
          <w:color w:val="auto"/>
          <w:sz w:val="24"/>
          <w:szCs w:val="24"/>
        </w:rPr>
      </w:pPr>
      <w:r>
        <w:rPr>
          <w:rFonts w:hAnsi="Times New Roman"/>
          <w:color w:val="auto"/>
          <w:sz w:val="24"/>
          <w:szCs w:val="24"/>
        </w:rPr>
        <w:t xml:space="preserve">1.1.7 </w:t>
      </w:r>
      <w:r>
        <w:rPr>
          <w:rFonts w:hint="eastAsia" w:hAnsi="Times New Roman" w:cs="宋体"/>
          <w:color w:val="auto"/>
          <w:sz w:val="24"/>
          <w:szCs w:val="24"/>
        </w:rPr>
        <w:t>本标段投资估算：见投标人须知前附表。</w:t>
      </w:r>
    </w:p>
    <w:p>
      <w:pPr>
        <w:autoSpaceDE w:val="0"/>
        <w:autoSpaceDN w:val="0"/>
        <w:snapToGrid w:val="0"/>
        <w:spacing w:line="360" w:lineRule="auto"/>
        <w:jc w:val="left"/>
        <w:rPr>
          <w:rFonts w:ascii="黑体" w:hAnsi="Times New Roman" w:eastAsia="黑体" w:cs="黑体"/>
          <w:color w:val="auto"/>
          <w:sz w:val="24"/>
          <w:szCs w:val="24"/>
        </w:rPr>
      </w:pPr>
      <w:r>
        <w:rPr>
          <w:rFonts w:hAnsi="Times New Roman"/>
          <w:color w:val="auto"/>
          <w:sz w:val="24"/>
          <w:szCs w:val="24"/>
        </w:rPr>
        <w:t xml:space="preserve">1.2 </w:t>
      </w:r>
      <w:r>
        <w:rPr>
          <w:rFonts w:hint="eastAsia" w:ascii="黑体" w:hAnsi="黑体" w:eastAsia="黑体" w:cs="黑体"/>
          <w:color w:val="auto"/>
          <w:sz w:val="24"/>
          <w:szCs w:val="24"/>
        </w:rPr>
        <w:t>招标项目的</w:t>
      </w:r>
      <w:r>
        <w:rPr>
          <w:rFonts w:hint="eastAsia" w:ascii="黑体" w:hAnsi="Times New Roman" w:eastAsia="黑体" w:cs="黑体"/>
          <w:color w:val="auto"/>
          <w:sz w:val="24"/>
          <w:szCs w:val="24"/>
        </w:rPr>
        <w:t>资金来源和落实情况</w:t>
      </w:r>
    </w:p>
    <w:p>
      <w:pPr>
        <w:autoSpaceDE w:val="0"/>
        <w:autoSpaceDN w:val="0"/>
        <w:snapToGrid w:val="0"/>
        <w:spacing w:line="360" w:lineRule="auto"/>
        <w:ind w:firstLine="480"/>
        <w:jc w:val="left"/>
        <w:rPr>
          <w:rFonts w:hAnsi="Times New Roman" w:cs="Times New Roman"/>
          <w:color w:val="auto"/>
          <w:sz w:val="24"/>
          <w:szCs w:val="24"/>
        </w:rPr>
      </w:pPr>
      <w:r>
        <w:rPr>
          <w:rFonts w:hAnsi="Times New Roman"/>
          <w:color w:val="auto"/>
          <w:sz w:val="24"/>
          <w:szCs w:val="24"/>
        </w:rPr>
        <w:t xml:space="preserve">1.2.1 </w:t>
      </w:r>
      <w:r>
        <w:rPr>
          <w:rFonts w:hint="eastAsia" w:hAnsi="Times New Roman" w:cs="宋体"/>
          <w:color w:val="auto"/>
          <w:sz w:val="24"/>
          <w:szCs w:val="24"/>
        </w:rPr>
        <w:t>资金来源及比例：见投标人须知前附表。</w:t>
      </w:r>
    </w:p>
    <w:p>
      <w:pPr>
        <w:autoSpaceDE w:val="0"/>
        <w:autoSpaceDN w:val="0"/>
        <w:snapToGrid w:val="0"/>
        <w:spacing w:line="360" w:lineRule="auto"/>
        <w:ind w:firstLine="480"/>
        <w:jc w:val="left"/>
        <w:rPr>
          <w:rFonts w:hAnsi="Times New Roman" w:cs="Times New Roman"/>
          <w:color w:val="auto"/>
          <w:sz w:val="24"/>
          <w:szCs w:val="24"/>
        </w:rPr>
      </w:pPr>
      <w:r>
        <w:rPr>
          <w:rFonts w:hAnsi="Times New Roman"/>
          <w:color w:val="auto"/>
          <w:sz w:val="24"/>
          <w:szCs w:val="24"/>
        </w:rPr>
        <w:t xml:space="preserve">1.2.2 </w:t>
      </w:r>
      <w:r>
        <w:rPr>
          <w:rFonts w:hint="eastAsia" w:hAnsi="Times New Roman" w:cs="宋体"/>
          <w:color w:val="auto"/>
          <w:sz w:val="24"/>
          <w:szCs w:val="24"/>
        </w:rPr>
        <w:t>资金落实情况：见投标人须知前附表。</w:t>
      </w:r>
    </w:p>
    <w:p>
      <w:pPr>
        <w:autoSpaceDE w:val="0"/>
        <w:autoSpaceDN w:val="0"/>
        <w:snapToGrid w:val="0"/>
        <w:spacing w:line="360" w:lineRule="auto"/>
        <w:jc w:val="left"/>
        <w:rPr>
          <w:rFonts w:ascii="黑体" w:hAnsi="Times New Roman" w:eastAsia="黑体" w:cs="黑体"/>
          <w:color w:val="auto"/>
          <w:sz w:val="24"/>
          <w:szCs w:val="24"/>
        </w:rPr>
      </w:pPr>
      <w:r>
        <w:rPr>
          <w:rFonts w:hAnsi="Times New Roman"/>
          <w:color w:val="auto"/>
          <w:sz w:val="24"/>
          <w:szCs w:val="24"/>
        </w:rPr>
        <w:t xml:space="preserve">1.3 </w:t>
      </w:r>
      <w:r>
        <w:rPr>
          <w:rFonts w:hint="eastAsia" w:ascii="黑体" w:hAnsi="Times New Roman" w:eastAsia="黑体" w:cs="黑体"/>
          <w:color w:val="auto"/>
          <w:sz w:val="24"/>
          <w:szCs w:val="24"/>
        </w:rPr>
        <w:t>招标范围、勘察服务期限、质量要求和安全目标</w:t>
      </w:r>
    </w:p>
    <w:p>
      <w:pPr>
        <w:autoSpaceDE w:val="0"/>
        <w:autoSpaceDN w:val="0"/>
        <w:snapToGrid w:val="0"/>
        <w:spacing w:line="360" w:lineRule="auto"/>
        <w:ind w:firstLine="480"/>
        <w:jc w:val="left"/>
        <w:rPr>
          <w:rFonts w:hAnsi="Times New Roman" w:cs="Times New Roman"/>
          <w:color w:val="auto"/>
          <w:sz w:val="24"/>
          <w:szCs w:val="24"/>
        </w:rPr>
      </w:pPr>
      <w:r>
        <w:rPr>
          <w:rFonts w:hAnsi="Times New Roman"/>
          <w:color w:val="auto"/>
          <w:sz w:val="24"/>
          <w:szCs w:val="24"/>
        </w:rPr>
        <w:t xml:space="preserve">1.3.1 </w:t>
      </w:r>
      <w:r>
        <w:rPr>
          <w:rFonts w:hint="eastAsia" w:hAnsi="Times New Roman" w:cs="宋体"/>
          <w:color w:val="auto"/>
          <w:sz w:val="24"/>
          <w:szCs w:val="24"/>
        </w:rPr>
        <w:t>招标范围：见投标人须知前附表。</w:t>
      </w:r>
    </w:p>
    <w:p>
      <w:pPr>
        <w:autoSpaceDE w:val="0"/>
        <w:autoSpaceDN w:val="0"/>
        <w:snapToGrid w:val="0"/>
        <w:spacing w:line="360" w:lineRule="auto"/>
        <w:ind w:firstLine="480"/>
        <w:jc w:val="left"/>
        <w:rPr>
          <w:rFonts w:hAnsi="Times New Roman" w:cs="Times New Roman"/>
          <w:color w:val="auto"/>
          <w:sz w:val="24"/>
          <w:szCs w:val="24"/>
        </w:rPr>
      </w:pPr>
      <w:r>
        <w:rPr>
          <w:rFonts w:hAnsi="Times New Roman"/>
          <w:color w:val="auto"/>
          <w:sz w:val="24"/>
          <w:szCs w:val="24"/>
        </w:rPr>
        <w:t xml:space="preserve">1.3.2 </w:t>
      </w:r>
      <w:r>
        <w:rPr>
          <w:rFonts w:hint="eastAsia" w:hAnsi="Times New Roman" w:cs="宋体"/>
          <w:color w:val="auto"/>
          <w:sz w:val="24"/>
          <w:szCs w:val="24"/>
        </w:rPr>
        <w:t>本标段的勘察服务期限：见投标人须知前附表。</w:t>
      </w:r>
    </w:p>
    <w:p>
      <w:pPr>
        <w:autoSpaceDE w:val="0"/>
        <w:autoSpaceDN w:val="0"/>
        <w:snapToGrid w:val="0"/>
        <w:spacing w:line="360" w:lineRule="auto"/>
        <w:ind w:firstLine="480"/>
        <w:jc w:val="left"/>
        <w:rPr>
          <w:rFonts w:hAnsi="Times New Roman" w:cs="Times New Roman"/>
          <w:color w:val="auto"/>
          <w:sz w:val="24"/>
          <w:szCs w:val="24"/>
        </w:rPr>
      </w:pPr>
      <w:r>
        <w:rPr>
          <w:rFonts w:hAnsi="Times New Roman"/>
          <w:color w:val="auto"/>
          <w:sz w:val="24"/>
          <w:szCs w:val="24"/>
        </w:rPr>
        <w:t xml:space="preserve">1.3.3 </w:t>
      </w:r>
      <w:r>
        <w:rPr>
          <w:rFonts w:hint="eastAsia" w:hAnsi="Times New Roman" w:cs="宋体"/>
          <w:color w:val="auto"/>
          <w:sz w:val="24"/>
          <w:szCs w:val="24"/>
        </w:rPr>
        <w:t>本标段的质量要求：见投标人须知前附表。</w:t>
      </w:r>
    </w:p>
    <w:p>
      <w:pPr>
        <w:autoSpaceDE w:val="0"/>
        <w:autoSpaceDN w:val="0"/>
        <w:snapToGrid w:val="0"/>
        <w:spacing w:line="360" w:lineRule="auto"/>
        <w:ind w:firstLine="480"/>
        <w:jc w:val="left"/>
        <w:rPr>
          <w:rFonts w:hAnsi="Times New Roman" w:cs="Times New Roman"/>
          <w:color w:val="auto"/>
          <w:sz w:val="24"/>
          <w:szCs w:val="24"/>
        </w:rPr>
      </w:pPr>
      <w:r>
        <w:rPr>
          <w:rFonts w:hAnsi="Times New Roman"/>
          <w:color w:val="auto"/>
          <w:sz w:val="24"/>
          <w:szCs w:val="24"/>
        </w:rPr>
        <w:t xml:space="preserve">1.3.4 </w:t>
      </w:r>
      <w:r>
        <w:rPr>
          <w:rFonts w:hint="eastAsia" w:hAnsi="Times New Roman" w:cs="宋体"/>
          <w:color w:val="auto"/>
          <w:sz w:val="24"/>
          <w:szCs w:val="24"/>
        </w:rPr>
        <w:t>本标段的安全目标：见投标人须知前附表。</w:t>
      </w:r>
    </w:p>
    <w:p>
      <w:pPr>
        <w:autoSpaceDE w:val="0"/>
        <w:autoSpaceDN w:val="0"/>
        <w:snapToGrid w:val="0"/>
        <w:spacing w:line="360" w:lineRule="auto"/>
        <w:jc w:val="left"/>
        <w:rPr>
          <w:rFonts w:ascii="黑体" w:hAnsi="Times New Roman" w:eastAsia="黑体" w:cs="黑体"/>
          <w:color w:val="auto"/>
          <w:sz w:val="24"/>
          <w:szCs w:val="24"/>
        </w:rPr>
      </w:pPr>
      <w:r>
        <w:rPr>
          <w:rFonts w:hAnsi="Times New Roman"/>
          <w:color w:val="auto"/>
          <w:sz w:val="24"/>
          <w:szCs w:val="24"/>
        </w:rPr>
        <w:t xml:space="preserve">1.4 </w:t>
      </w:r>
      <w:r>
        <w:rPr>
          <w:rFonts w:hint="eastAsia" w:ascii="黑体" w:hAnsi="Times New Roman" w:eastAsia="黑体" w:cs="黑体"/>
          <w:color w:val="auto"/>
          <w:sz w:val="24"/>
          <w:szCs w:val="24"/>
        </w:rPr>
        <w:t>投标人资格要求</w:t>
      </w:r>
    </w:p>
    <w:p>
      <w:pPr>
        <w:autoSpaceDE w:val="0"/>
        <w:autoSpaceDN w:val="0"/>
        <w:snapToGrid w:val="0"/>
        <w:spacing w:line="360" w:lineRule="auto"/>
        <w:ind w:firstLine="480"/>
        <w:jc w:val="left"/>
        <w:rPr>
          <w:color w:val="auto"/>
          <w:sz w:val="24"/>
          <w:szCs w:val="24"/>
        </w:rPr>
      </w:pPr>
      <w:r>
        <w:rPr>
          <w:rFonts w:hAnsi="Times New Roman"/>
          <w:color w:val="auto"/>
          <w:sz w:val="24"/>
          <w:szCs w:val="24"/>
        </w:rPr>
        <w:t>1.4.1</w:t>
      </w:r>
      <w:r>
        <w:rPr>
          <w:rFonts w:hint="eastAsia" w:cs="宋体"/>
          <w:color w:val="auto"/>
          <w:sz w:val="24"/>
          <w:szCs w:val="24"/>
        </w:rPr>
        <w:t>投标人应具备承担本标段勘察的资质条件、能力和信誉。</w:t>
      </w:r>
    </w:p>
    <w:p>
      <w:pPr>
        <w:autoSpaceDE w:val="0"/>
        <w:autoSpaceDN w:val="0"/>
        <w:snapToGrid w:val="0"/>
        <w:spacing w:line="360" w:lineRule="auto"/>
        <w:ind w:firstLine="480"/>
        <w:jc w:val="left"/>
        <w:rPr>
          <w:rFonts w:cs="Times New Roman"/>
          <w:color w:val="auto"/>
          <w:sz w:val="24"/>
          <w:szCs w:val="24"/>
        </w:rPr>
      </w:pPr>
      <w:r>
        <w:rPr>
          <w:rFonts w:hint="eastAsia" w:cs="宋体"/>
          <w:color w:val="auto"/>
          <w:sz w:val="24"/>
          <w:szCs w:val="24"/>
        </w:rPr>
        <w:t>（</w:t>
      </w:r>
      <w:r>
        <w:rPr>
          <w:color w:val="auto"/>
          <w:sz w:val="24"/>
          <w:szCs w:val="24"/>
        </w:rPr>
        <w:t>1</w:t>
      </w:r>
      <w:r>
        <w:rPr>
          <w:rFonts w:hint="eastAsia" w:cs="宋体"/>
          <w:color w:val="auto"/>
          <w:sz w:val="24"/>
          <w:szCs w:val="24"/>
        </w:rPr>
        <w:t>）资质要求：</w:t>
      </w:r>
      <w:r>
        <w:rPr>
          <w:rFonts w:hint="eastAsia" w:hAnsi="Times New Roman" w:cs="宋体"/>
          <w:color w:val="auto"/>
          <w:sz w:val="24"/>
          <w:szCs w:val="24"/>
        </w:rPr>
        <w:t>见投标人须知前附表。</w:t>
      </w:r>
    </w:p>
    <w:p>
      <w:pPr>
        <w:autoSpaceDE w:val="0"/>
        <w:autoSpaceDN w:val="0"/>
        <w:snapToGrid w:val="0"/>
        <w:spacing w:line="360" w:lineRule="auto"/>
        <w:ind w:firstLine="480"/>
        <w:jc w:val="left"/>
        <w:rPr>
          <w:rFonts w:cs="Times New Roman"/>
          <w:color w:val="auto"/>
          <w:sz w:val="24"/>
          <w:szCs w:val="24"/>
        </w:rPr>
      </w:pPr>
      <w:r>
        <w:rPr>
          <w:rFonts w:hint="eastAsia" w:cs="宋体"/>
          <w:color w:val="auto"/>
          <w:sz w:val="24"/>
          <w:szCs w:val="24"/>
        </w:rPr>
        <w:t>（</w:t>
      </w:r>
      <w:r>
        <w:rPr>
          <w:color w:val="auto"/>
          <w:sz w:val="24"/>
          <w:szCs w:val="24"/>
        </w:rPr>
        <w:t>2</w:t>
      </w:r>
      <w:r>
        <w:rPr>
          <w:rFonts w:hint="eastAsia" w:cs="宋体"/>
          <w:color w:val="auto"/>
          <w:sz w:val="24"/>
          <w:szCs w:val="24"/>
        </w:rPr>
        <w:t>）业绩要求：</w:t>
      </w:r>
      <w:r>
        <w:rPr>
          <w:rFonts w:hint="eastAsia" w:hAnsi="Times New Roman" w:cs="宋体"/>
          <w:color w:val="auto"/>
          <w:sz w:val="24"/>
          <w:szCs w:val="24"/>
        </w:rPr>
        <w:t>见投标人须知前附表。</w:t>
      </w:r>
    </w:p>
    <w:p>
      <w:pPr>
        <w:autoSpaceDE w:val="0"/>
        <w:autoSpaceDN w:val="0"/>
        <w:snapToGrid w:val="0"/>
        <w:spacing w:line="360" w:lineRule="auto"/>
        <w:ind w:firstLine="480"/>
        <w:jc w:val="left"/>
        <w:rPr>
          <w:rFonts w:cs="Times New Roman"/>
          <w:color w:val="auto"/>
          <w:sz w:val="24"/>
          <w:szCs w:val="24"/>
        </w:rPr>
      </w:pPr>
      <w:r>
        <w:rPr>
          <w:rFonts w:hint="eastAsia" w:cs="宋体"/>
          <w:color w:val="auto"/>
          <w:sz w:val="24"/>
          <w:szCs w:val="24"/>
        </w:rPr>
        <w:t>（</w:t>
      </w:r>
      <w:r>
        <w:rPr>
          <w:color w:val="auto"/>
          <w:sz w:val="24"/>
          <w:szCs w:val="24"/>
        </w:rPr>
        <w:t>3</w:t>
      </w:r>
      <w:r>
        <w:rPr>
          <w:rFonts w:hint="eastAsia" w:cs="宋体"/>
          <w:color w:val="auto"/>
          <w:sz w:val="24"/>
          <w:szCs w:val="24"/>
        </w:rPr>
        <w:t>）信誉要求：</w:t>
      </w:r>
      <w:r>
        <w:rPr>
          <w:rFonts w:hint="eastAsia" w:hAnsi="Times New Roman" w:cs="宋体"/>
          <w:color w:val="auto"/>
          <w:sz w:val="24"/>
          <w:szCs w:val="24"/>
        </w:rPr>
        <w:t>见投标人须知前附表。</w:t>
      </w:r>
    </w:p>
    <w:p>
      <w:pPr>
        <w:autoSpaceDE w:val="0"/>
        <w:autoSpaceDN w:val="0"/>
        <w:snapToGrid w:val="0"/>
        <w:spacing w:line="360" w:lineRule="auto"/>
        <w:ind w:firstLine="480"/>
        <w:jc w:val="left"/>
        <w:rPr>
          <w:rFonts w:cs="Times New Roman"/>
          <w:color w:val="auto"/>
          <w:sz w:val="24"/>
          <w:szCs w:val="24"/>
        </w:rPr>
      </w:pPr>
      <w:r>
        <w:rPr>
          <w:rFonts w:hint="eastAsia" w:cs="宋体"/>
          <w:color w:val="auto"/>
          <w:sz w:val="24"/>
          <w:szCs w:val="24"/>
        </w:rPr>
        <w:t>（</w:t>
      </w:r>
      <w:r>
        <w:rPr>
          <w:color w:val="auto"/>
          <w:sz w:val="24"/>
          <w:szCs w:val="24"/>
        </w:rPr>
        <w:t>4</w:t>
      </w:r>
      <w:r>
        <w:rPr>
          <w:rFonts w:hint="eastAsia" w:cs="宋体"/>
          <w:color w:val="auto"/>
          <w:sz w:val="24"/>
          <w:szCs w:val="24"/>
        </w:rPr>
        <w:t>）项目负责人资格：</w:t>
      </w:r>
      <w:r>
        <w:rPr>
          <w:rFonts w:hint="eastAsia" w:hAnsi="Times New Roman" w:cs="宋体"/>
          <w:color w:val="auto"/>
          <w:sz w:val="24"/>
          <w:szCs w:val="24"/>
        </w:rPr>
        <w:t>见投标人须知前附表。</w:t>
      </w:r>
    </w:p>
    <w:p>
      <w:pPr>
        <w:autoSpaceDE w:val="0"/>
        <w:autoSpaceDN w:val="0"/>
        <w:snapToGrid w:val="0"/>
        <w:spacing w:line="360" w:lineRule="auto"/>
        <w:ind w:firstLine="480"/>
        <w:jc w:val="left"/>
        <w:rPr>
          <w:rFonts w:hAnsi="Times New Roman" w:cs="Times New Roman"/>
          <w:color w:val="auto"/>
          <w:sz w:val="24"/>
          <w:szCs w:val="24"/>
        </w:rPr>
      </w:pPr>
      <w:r>
        <w:rPr>
          <w:rFonts w:hint="eastAsia" w:cs="宋体"/>
          <w:color w:val="auto"/>
          <w:sz w:val="24"/>
          <w:szCs w:val="24"/>
        </w:rPr>
        <w:t>（</w:t>
      </w:r>
      <w:r>
        <w:rPr>
          <w:color w:val="auto"/>
          <w:sz w:val="24"/>
          <w:szCs w:val="24"/>
        </w:rPr>
        <w:t>5</w:t>
      </w:r>
      <w:r>
        <w:rPr>
          <w:rFonts w:hint="eastAsia" w:cs="宋体"/>
          <w:color w:val="auto"/>
          <w:sz w:val="24"/>
          <w:szCs w:val="24"/>
        </w:rPr>
        <w:t>）其他要求：</w:t>
      </w:r>
      <w:r>
        <w:rPr>
          <w:rFonts w:hint="eastAsia" w:hAnsi="Times New Roman" w:cs="宋体"/>
          <w:color w:val="auto"/>
          <w:sz w:val="24"/>
          <w:szCs w:val="24"/>
        </w:rPr>
        <w:t>见投标人须知前附表。</w:t>
      </w:r>
    </w:p>
    <w:p>
      <w:pPr>
        <w:autoSpaceDE w:val="0"/>
        <w:autoSpaceDN w:val="0"/>
        <w:snapToGrid w:val="0"/>
        <w:spacing w:line="360" w:lineRule="auto"/>
        <w:ind w:firstLine="480"/>
        <w:jc w:val="left"/>
        <w:rPr>
          <w:rFonts w:cs="Times New Roman"/>
          <w:color w:val="auto"/>
          <w:sz w:val="24"/>
          <w:szCs w:val="24"/>
        </w:rPr>
      </w:pPr>
      <w:r>
        <w:rPr>
          <w:rFonts w:hint="eastAsia" w:hAnsi="Times New Roman" w:cs="宋体"/>
          <w:color w:val="auto"/>
          <w:sz w:val="24"/>
          <w:szCs w:val="24"/>
        </w:rPr>
        <w:t>需要提交的相关证明材料见本章第</w:t>
      </w:r>
      <w:r>
        <w:rPr>
          <w:rFonts w:hAnsi="Times New Roman"/>
          <w:color w:val="auto"/>
          <w:sz w:val="24"/>
          <w:szCs w:val="24"/>
        </w:rPr>
        <w:t>3.5</w:t>
      </w:r>
      <w:r>
        <w:rPr>
          <w:rFonts w:hint="eastAsia" w:hAnsi="Times New Roman" w:cs="宋体"/>
          <w:color w:val="auto"/>
          <w:sz w:val="24"/>
          <w:szCs w:val="24"/>
        </w:rPr>
        <w:t>款的规定。</w:t>
      </w:r>
    </w:p>
    <w:p>
      <w:pPr>
        <w:autoSpaceDE w:val="0"/>
        <w:autoSpaceDN w:val="0"/>
        <w:snapToGrid w:val="0"/>
        <w:spacing w:line="360" w:lineRule="auto"/>
        <w:ind w:firstLine="480"/>
        <w:jc w:val="left"/>
        <w:rPr>
          <w:rFonts w:hAnsi="Times New Roman"/>
          <w:color w:val="auto"/>
          <w:sz w:val="24"/>
          <w:szCs w:val="24"/>
        </w:rPr>
      </w:pPr>
      <w:r>
        <w:rPr>
          <w:rFonts w:hAnsi="Times New Roman"/>
          <w:color w:val="auto"/>
          <w:sz w:val="24"/>
          <w:szCs w:val="24"/>
        </w:rPr>
        <w:t xml:space="preserve">1.4.2 </w:t>
      </w:r>
      <w:r>
        <w:rPr>
          <w:rFonts w:hint="eastAsia" w:hAnsi="Times New Roman" w:cs="宋体"/>
          <w:color w:val="auto"/>
          <w:sz w:val="24"/>
          <w:szCs w:val="24"/>
        </w:rPr>
        <w:t>投标人须知前附表规定接受联合体投标的，联合体除应符合本章第</w:t>
      </w:r>
      <w:r>
        <w:rPr>
          <w:rFonts w:hAnsi="Times New Roman"/>
          <w:color w:val="auto"/>
          <w:sz w:val="24"/>
          <w:szCs w:val="24"/>
        </w:rPr>
        <w:t>1.4.1</w:t>
      </w:r>
      <w:r>
        <w:rPr>
          <w:rFonts w:hint="eastAsia" w:hAnsi="Times New Roman" w:cs="宋体"/>
          <w:color w:val="auto"/>
          <w:sz w:val="24"/>
          <w:szCs w:val="24"/>
        </w:rPr>
        <w:t>项和投标人须知前附表的要求外，还应遵守以下规定：</w:t>
      </w:r>
    </w:p>
    <w:p>
      <w:pPr>
        <w:autoSpaceDE w:val="0"/>
        <w:autoSpaceDN w:val="0"/>
        <w:snapToGrid w:val="0"/>
        <w:spacing w:line="360" w:lineRule="auto"/>
        <w:ind w:firstLine="480"/>
        <w:jc w:val="left"/>
        <w:rPr>
          <w:rFonts w:hAnsi="Times New Roman"/>
          <w:color w:val="auto"/>
          <w:sz w:val="24"/>
          <w:szCs w:val="24"/>
        </w:rPr>
      </w:pPr>
      <w:r>
        <w:rPr>
          <w:rFonts w:hint="eastAsia" w:hAnsi="Times New Roman" w:cs="宋体"/>
          <w:color w:val="auto"/>
          <w:sz w:val="24"/>
          <w:szCs w:val="24"/>
        </w:rPr>
        <w:t>（</w:t>
      </w:r>
      <w:r>
        <w:rPr>
          <w:rFonts w:hAnsi="Times New Roman"/>
          <w:color w:val="auto"/>
          <w:sz w:val="24"/>
          <w:szCs w:val="24"/>
        </w:rPr>
        <w:t>1</w:t>
      </w:r>
      <w:r>
        <w:rPr>
          <w:rFonts w:hint="eastAsia" w:hAnsi="Times New Roman" w:cs="宋体"/>
          <w:color w:val="auto"/>
          <w:sz w:val="24"/>
          <w:szCs w:val="24"/>
        </w:rPr>
        <w:t>）联合体各方应按招标文件提供的格式签订联合体协议书，明确联合体牵头人和各方权利义务，并承诺就中标项目向招标人承担连带责任；</w:t>
      </w:r>
    </w:p>
    <w:p>
      <w:pPr>
        <w:autoSpaceDE w:val="0"/>
        <w:autoSpaceDN w:val="0"/>
        <w:snapToGrid w:val="0"/>
        <w:spacing w:line="360" w:lineRule="auto"/>
        <w:ind w:firstLine="480"/>
        <w:jc w:val="left"/>
        <w:rPr>
          <w:rFonts w:hAnsi="Times New Roman" w:cs="Times New Roman"/>
          <w:color w:val="auto"/>
          <w:sz w:val="24"/>
          <w:szCs w:val="24"/>
        </w:rPr>
      </w:pPr>
      <w:r>
        <w:rPr>
          <w:rFonts w:hint="eastAsia" w:hAnsi="Times New Roman" w:cs="宋体"/>
          <w:color w:val="auto"/>
          <w:sz w:val="24"/>
          <w:szCs w:val="24"/>
        </w:rPr>
        <w:t>（</w:t>
      </w:r>
      <w:r>
        <w:rPr>
          <w:rFonts w:hAnsi="Times New Roman"/>
          <w:color w:val="auto"/>
          <w:sz w:val="24"/>
          <w:szCs w:val="24"/>
        </w:rPr>
        <w:t>2</w:t>
      </w:r>
      <w:r>
        <w:rPr>
          <w:rFonts w:hint="eastAsia" w:hAnsi="Times New Roman" w:cs="宋体"/>
          <w:color w:val="auto"/>
          <w:sz w:val="24"/>
          <w:szCs w:val="24"/>
        </w:rPr>
        <w:t>）由同一专业的单位组成的联合体，按照资质等级较低的单位确定资质等级；</w:t>
      </w:r>
    </w:p>
    <w:p>
      <w:pPr>
        <w:autoSpaceDE w:val="0"/>
        <w:autoSpaceDN w:val="0"/>
        <w:snapToGrid w:val="0"/>
        <w:spacing w:line="360" w:lineRule="auto"/>
        <w:ind w:firstLine="480"/>
        <w:jc w:val="left"/>
        <w:rPr>
          <w:rFonts w:hAnsi="Times New Roman" w:cs="Times New Roman"/>
          <w:color w:val="auto"/>
          <w:sz w:val="24"/>
          <w:szCs w:val="24"/>
        </w:rPr>
      </w:pPr>
      <w:r>
        <w:rPr>
          <w:rFonts w:hint="eastAsia" w:hAnsi="Times New Roman" w:cs="宋体"/>
          <w:color w:val="auto"/>
          <w:sz w:val="24"/>
          <w:szCs w:val="24"/>
        </w:rPr>
        <w:t>（</w:t>
      </w:r>
      <w:r>
        <w:rPr>
          <w:rFonts w:hAnsi="Times New Roman"/>
          <w:color w:val="auto"/>
          <w:sz w:val="24"/>
          <w:szCs w:val="24"/>
        </w:rPr>
        <w:t>3</w:t>
      </w:r>
      <w:r>
        <w:rPr>
          <w:rFonts w:hint="eastAsia" w:hAnsi="Times New Roman" w:cs="宋体"/>
          <w:color w:val="auto"/>
          <w:sz w:val="24"/>
          <w:szCs w:val="24"/>
        </w:rPr>
        <w:t>）联合体各方不得再以自己名义单独或参加其他联合体在同一标段中投标；</w:t>
      </w:r>
    </w:p>
    <w:p>
      <w:pPr>
        <w:autoSpaceDE w:val="0"/>
        <w:autoSpaceDN w:val="0"/>
        <w:snapToGrid w:val="0"/>
        <w:spacing w:line="360" w:lineRule="auto"/>
        <w:ind w:firstLine="480"/>
        <w:jc w:val="left"/>
        <w:rPr>
          <w:rFonts w:hAnsi="Times New Roman"/>
          <w:color w:val="auto"/>
          <w:sz w:val="24"/>
          <w:szCs w:val="24"/>
        </w:rPr>
      </w:pPr>
      <w:r>
        <w:rPr>
          <w:rFonts w:hint="eastAsia" w:hAnsi="Times New Roman" w:cs="宋体"/>
          <w:color w:val="auto"/>
          <w:sz w:val="24"/>
          <w:szCs w:val="24"/>
        </w:rPr>
        <w:t>（</w:t>
      </w:r>
      <w:r>
        <w:rPr>
          <w:rFonts w:hAnsi="Times New Roman"/>
          <w:color w:val="auto"/>
          <w:sz w:val="24"/>
          <w:szCs w:val="24"/>
        </w:rPr>
        <w:t>4</w:t>
      </w:r>
      <w:r>
        <w:rPr>
          <w:rFonts w:hint="eastAsia" w:hAnsi="Times New Roman" w:cs="宋体"/>
          <w:color w:val="auto"/>
          <w:sz w:val="24"/>
          <w:szCs w:val="24"/>
        </w:rPr>
        <w:t>）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pPr>
        <w:autoSpaceDE w:val="0"/>
        <w:autoSpaceDN w:val="0"/>
        <w:snapToGrid w:val="0"/>
        <w:spacing w:line="360" w:lineRule="auto"/>
        <w:ind w:firstLine="480"/>
        <w:jc w:val="left"/>
        <w:rPr>
          <w:rFonts w:hAnsi="Times New Roman"/>
          <w:color w:val="auto"/>
          <w:sz w:val="24"/>
          <w:szCs w:val="24"/>
        </w:rPr>
      </w:pPr>
      <w:r>
        <w:rPr>
          <w:rFonts w:hint="eastAsia" w:hAnsi="Times New Roman" w:cs="宋体"/>
          <w:color w:val="auto"/>
          <w:sz w:val="24"/>
          <w:szCs w:val="24"/>
        </w:rPr>
        <w:t>（</w:t>
      </w:r>
      <w:r>
        <w:rPr>
          <w:rFonts w:hAnsi="Times New Roman"/>
          <w:color w:val="auto"/>
          <w:sz w:val="24"/>
          <w:szCs w:val="24"/>
        </w:rPr>
        <w:t>5</w:t>
      </w:r>
      <w:r>
        <w:rPr>
          <w:rFonts w:hint="eastAsia" w:hAnsi="Times New Roman" w:cs="宋体"/>
          <w:color w:val="auto"/>
          <w:sz w:val="24"/>
          <w:szCs w:val="24"/>
        </w:rPr>
        <w:t>）尽管委任了联合体牵头人，但联合体各成员在投标、签订合同与履行合同过程中，仍负有连带的和各自的法律责任。</w:t>
      </w:r>
    </w:p>
    <w:p>
      <w:pPr>
        <w:autoSpaceDE w:val="0"/>
        <w:autoSpaceDN w:val="0"/>
        <w:snapToGrid w:val="0"/>
        <w:spacing w:line="360" w:lineRule="auto"/>
        <w:ind w:firstLine="480"/>
        <w:jc w:val="left"/>
        <w:rPr>
          <w:rFonts w:hAnsi="Times New Roman" w:cs="Times New Roman"/>
          <w:color w:val="auto"/>
          <w:sz w:val="24"/>
          <w:szCs w:val="24"/>
        </w:rPr>
      </w:pPr>
      <w:r>
        <w:rPr>
          <w:rFonts w:hAnsi="Times New Roman"/>
          <w:color w:val="auto"/>
          <w:sz w:val="24"/>
          <w:szCs w:val="24"/>
        </w:rPr>
        <w:t xml:space="preserve">1.4.3 </w:t>
      </w:r>
      <w:r>
        <w:rPr>
          <w:rFonts w:hint="eastAsia" w:hAnsi="Times New Roman" w:cs="宋体"/>
          <w:color w:val="auto"/>
          <w:sz w:val="24"/>
          <w:szCs w:val="24"/>
        </w:rPr>
        <w:t>投标人（包括联合体各成员）不得与本标段相关单位存在下列关联关系：</w:t>
      </w:r>
    </w:p>
    <w:p>
      <w:pPr>
        <w:autoSpaceDE w:val="0"/>
        <w:autoSpaceDN w:val="0"/>
        <w:snapToGrid w:val="0"/>
        <w:spacing w:line="360" w:lineRule="auto"/>
        <w:ind w:firstLine="480"/>
        <w:jc w:val="left"/>
        <w:rPr>
          <w:rFonts w:hAnsi="Times New Roman" w:cs="Times New Roman"/>
          <w:color w:val="auto"/>
        </w:rPr>
      </w:pPr>
      <w:r>
        <w:rPr>
          <w:rFonts w:hint="eastAsia" w:hAnsi="Times New Roman" w:cs="宋体"/>
          <w:color w:val="auto"/>
          <w:sz w:val="24"/>
          <w:szCs w:val="24"/>
        </w:rPr>
        <w:t>（</w:t>
      </w:r>
      <w:r>
        <w:rPr>
          <w:rFonts w:hAnsi="Times New Roman"/>
          <w:color w:val="auto"/>
          <w:sz w:val="24"/>
          <w:szCs w:val="24"/>
        </w:rPr>
        <w:t>1</w:t>
      </w:r>
      <w:r>
        <w:rPr>
          <w:rFonts w:hint="eastAsia" w:hAnsi="Times New Roman" w:cs="宋体"/>
          <w:color w:val="auto"/>
          <w:sz w:val="24"/>
          <w:szCs w:val="24"/>
        </w:rPr>
        <w:t>）为招标人不具有独立法人资格的附属机构（单位）；</w:t>
      </w:r>
    </w:p>
    <w:p>
      <w:pPr>
        <w:autoSpaceDE w:val="0"/>
        <w:autoSpaceDN w:val="0"/>
        <w:snapToGrid w:val="0"/>
        <w:spacing w:line="360" w:lineRule="auto"/>
        <w:ind w:firstLine="480"/>
        <w:jc w:val="left"/>
        <w:rPr>
          <w:rFonts w:hAnsi="Times New Roman" w:cs="Times New Roman"/>
          <w:color w:val="auto"/>
          <w:sz w:val="24"/>
          <w:szCs w:val="24"/>
        </w:rPr>
      </w:pPr>
      <w:r>
        <w:rPr>
          <w:rFonts w:hint="eastAsia" w:hAnsi="Times New Roman" w:cs="宋体"/>
          <w:color w:val="auto"/>
          <w:sz w:val="24"/>
          <w:szCs w:val="24"/>
        </w:rPr>
        <w:t>（</w:t>
      </w:r>
      <w:r>
        <w:rPr>
          <w:rFonts w:hAnsi="Times New Roman"/>
          <w:color w:val="auto"/>
          <w:sz w:val="24"/>
          <w:szCs w:val="24"/>
        </w:rPr>
        <w:t>2</w:t>
      </w:r>
      <w:r>
        <w:rPr>
          <w:rFonts w:hint="eastAsia" w:hAnsi="Times New Roman" w:cs="宋体"/>
          <w:color w:val="auto"/>
          <w:sz w:val="24"/>
          <w:szCs w:val="24"/>
        </w:rPr>
        <w:t>）与招标人存在利害关系且可能影响招标公正性；</w:t>
      </w:r>
    </w:p>
    <w:p>
      <w:pPr>
        <w:autoSpaceDE w:val="0"/>
        <w:autoSpaceDN w:val="0"/>
        <w:snapToGrid w:val="0"/>
        <w:spacing w:line="360" w:lineRule="auto"/>
        <w:ind w:firstLine="480"/>
        <w:jc w:val="left"/>
        <w:rPr>
          <w:rFonts w:hAnsi="Times New Roman" w:cs="Times New Roman"/>
          <w:color w:val="auto"/>
          <w:sz w:val="24"/>
          <w:szCs w:val="24"/>
        </w:rPr>
      </w:pPr>
      <w:r>
        <w:rPr>
          <w:rFonts w:hint="eastAsia" w:hAnsi="Times New Roman" w:cs="宋体"/>
          <w:color w:val="auto"/>
          <w:sz w:val="24"/>
          <w:szCs w:val="24"/>
        </w:rPr>
        <w:t>（</w:t>
      </w:r>
      <w:r>
        <w:rPr>
          <w:rFonts w:hAnsi="Times New Roman"/>
          <w:color w:val="auto"/>
          <w:sz w:val="24"/>
          <w:szCs w:val="24"/>
        </w:rPr>
        <w:t>3</w:t>
      </w:r>
      <w:r>
        <w:rPr>
          <w:rFonts w:hint="eastAsia" w:hAnsi="Times New Roman" w:cs="宋体"/>
          <w:color w:val="auto"/>
          <w:sz w:val="24"/>
          <w:szCs w:val="24"/>
        </w:rPr>
        <w:t>）与本标段的其他投标人同为一个单位负责人；</w:t>
      </w:r>
    </w:p>
    <w:p>
      <w:pPr>
        <w:autoSpaceDE w:val="0"/>
        <w:autoSpaceDN w:val="0"/>
        <w:snapToGrid w:val="0"/>
        <w:spacing w:line="360" w:lineRule="auto"/>
        <w:ind w:firstLine="480"/>
        <w:jc w:val="left"/>
        <w:rPr>
          <w:rFonts w:hAnsi="Times New Roman" w:cs="Times New Roman"/>
          <w:color w:val="auto"/>
          <w:sz w:val="24"/>
          <w:szCs w:val="24"/>
        </w:rPr>
      </w:pPr>
      <w:r>
        <w:rPr>
          <w:rFonts w:hint="eastAsia" w:hAnsi="Times New Roman" w:cs="宋体"/>
          <w:color w:val="auto"/>
          <w:sz w:val="24"/>
          <w:szCs w:val="24"/>
        </w:rPr>
        <w:t>（</w:t>
      </w:r>
      <w:r>
        <w:rPr>
          <w:rFonts w:hAnsi="Times New Roman"/>
          <w:color w:val="auto"/>
          <w:sz w:val="24"/>
          <w:szCs w:val="24"/>
        </w:rPr>
        <w:t>4</w:t>
      </w:r>
      <w:r>
        <w:rPr>
          <w:rFonts w:hint="eastAsia" w:hAnsi="Times New Roman" w:cs="宋体"/>
          <w:color w:val="auto"/>
          <w:sz w:val="24"/>
          <w:szCs w:val="24"/>
        </w:rPr>
        <w:t>）与本标段的其他投标人存在控股、管理关系；</w:t>
      </w:r>
    </w:p>
    <w:p>
      <w:pPr>
        <w:autoSpaceDE w:val="0"/>
        <w:autoSpaceDN w:val="0"/>
        <w:snapToGrid w:val="0"/>
        <w:spacing w:line="360" w:lineRule="auto"/>
        <w:ind w:firstLine="480"/>
        <w:jc w:val="left"/>
        <w:rPr>
          <w:rFonts w:hAnsi="Times New Roman" w:cs="Times New Roman"/>
          <w:color w:val="auto"/>
          <w:sz w:val="24"/>
          <w:szCs w:val="24"/>
        </w:rPr>
      </w:pPr>
      <w:r>
        <w:rPr>
          <w:rFonts w:hint="eastAsia" w:hAnsi="Times New Roman" w:cs="宋体"/>
          <w:color w:val="auto"/>
          <w:sz w:val="24"/>
          <w:szCs w:val="24"/>
        </w:rPr>
        <w:t>（</w:t>
      </w:r>
      <w:r>
        <w:rPr>
          <w:rFonts w:hAnsi="Times New Roman"/>
          <w:color w:val="auto"/>
          <w:sz w:val="24"/>
          <w:szCs w:val="24"/>
        </w:rPr>
        <w:t>5</w:t>
      </w:r>
      <w:r>
        <w:rPr>
          <w:rFonts w:hint="eastAsia" w:hAnsi="Times New Roman" w:cs="宋体"/>
          <w:color w:val="auto"/>
          <w:sz w:val="24"/>
          <w:szCs w:val="24"/>
        </w:rPr>
        <w:t>）为本标段的代建人；</w:t>
      </w:r>
    </w:p>
    <w:p>
      <w:pPr>
        <w:autoSpaceDE w:val="0"/>
        <w:autoSpaceDN w:val="0"/>
        <w:snapToGrid w:val="0"/>
        <w:spacing w:line="360" w:lineRule="auto"/>
        <w:ind w:firstLine="480"/>
        <w:jc w:val="left"/>
        <w:rPr>
          <w:rFonts w:hAnsi="Times New Roman" w:cs="Times New Roman"/>
          <w:color w:val="auto"/>
          <w:sz w:val="24"/>
          <w:szCs w:val="24"/>
        </w:rPr>
      </w:pPr>
      <w:r>
        <w:rPr>
          <w:rFonts w:hint="eastAsia" w:hAnsi="Times New Roman" w:cs="宋体"/>
          <w:color w:val="auto"/>
          <w:sz w:val="24"/>
          <w:szCs w:val="24"/>
        </w:rPr>
        <w:t>（</w:t>
      </w:r>
      <w:r>
        <w:rPr>
          <w:rFonts w:hAnsi="Times New Roman"/>
          <w:color w:val="auto"/>
          <w:sz w:val="24"/>
          <w:szCs w:val="24"/>
        </w:rPr>
        <w:t>6</w:t>
      </w:r>
      <w:r>
        <w:rPr>
          <w:rFonts w:hint="eastAsia" w:hAnsi="Times New Roman" w:cs="宋体"/>
          <w:color w:val="auto"/>
          <w:sz w:val="24"/>
          <w:szCs w:val="24"/>
        </w:rPr>
        <w:t>）为本标段的招标代理机构；</w:t>
      </w:r>
    </w:p>
    <w:p>
      <w:pPr>
        <w:autoSpaceDE w:val="0"/>
        <w:autoSpaceDN w:val="0"/>
        <w:snapToGrid w:val="0"/>
        <w:spacing w:line="360" w:lineRule="auto"/>
        <w:ind w:firstLine="480"/>
        <w:jc w:val="left"/>
        <w:rPr>
          <w:rFonts w:hAnsi="Times New Roman"/>
          <w:color w:val="auto"/>
          <w:sz w:val="24"/>
          <w:szCs w:val="24"/>
        </w:rPr>
      </w:pPr>
      <w:r>
        <w:rPr>
          <w:rFonts w:hint="eastAsia" w:hAnsi="Times New Roman" w:cs="宋体"/>
          <w:color w:val="auto"/>
          <w:sz w:val="24"/>
          <w:szCs w:val="24"/>
        </w:rPr>
        <w:t>（</w:t>
      </w:r>
      <w:r>
        <w:rPr>
          <w:rFonts w:hAnsi="Times New Roman"/>
          <w:color w:val="auto"/>
          <w:sz w:val="24"/>
          <w:szCs w:val="24"/>
        </w:rPr>
        <w:t>7</w:t>
      </w:r>
      <w:r>
        <w:rPr>
          <w:rFonts w:hint="eastAsia" w:hAnsi="Times New Roman" w:cs="宋体"/>
          <w:color w:val="auto"/>
          <w:sz w:val="24"/>
          <w:szCs w:val="24"/>
        </w:rPr>
        <w:t>）与本标段的代建人或招标代理机构同为一个法定代表人；</w:t>
      </w:r>
    </w:p>
    <w:p>
      <w:pPr>
        <w:autoSpaceDE w:val="0"/>
        <w:autoSpaceDN w:val="0"/>
        <w:snapToGrid w:val="0"/>
        <w:spacing w:line="360" w:lineRule="auto"/>
        <w:ind w:firstLine="480"/>
        <w:jc w:val="left"/>
        <w:rPr>
          <w:rFonts w:hAnsi="Times New Roman"/>
          <w:color w:val="auto"/>
          <w:sz w:val="24"/>
          <w:szCs w:val="24"/>
        </w:rPr>
      </w:pPr>
      <w:r>
        <w:rPr>
          <w:rFonts w:hint="eastAsia" w:hAnsi="Times New Roman" w:cs="宋体"/>
          <w:color w:val="auto"/>
          <w:sz w:val="24"/>
          <w:szCs w:val="24"/>
        </w:rPr>
        <w:t>（</w:t>
      </w:r>
      <w:r>
        <w:rPr>
          <w:rFonts w:hAnsi="Times New Roman"/>
          <w:color w:val="auto"/>
          <w:sz w:val="24"/>
          <w:szCs w:val="24"/>
        </w:rPr>
        <w:t>8</w:t>
      </w:r>
      <w:r>
        <w:rPr>
          <w:rFonts w:hint="eastAsia" w:hAnsi="Times New Roman" w:cs="宋体"/>
          <w:color w:val="auto"/>
          <w:sz w:val="24"/>
          <w:szCs w:val="24"/>
        </w:rPr>
        <w:t>）与本标段的代建人或招标代理机构存在控股或参股关系；</w:t>
      </w:r>
    </w:p>
    <w:p>
      <w:pPr>
        <w:autoSpaceDE w:val="0"/>
        <w:autoSpaceDN w:val="0"/>
        <w:snapToGrid w:val="0"/>
        <w:spacing w:line="360" w:lineRule="auto"/>
        <w:ind w:firstLine="480"/>
        <w:jc w:val="left"/>
        <w:rPr>
          <w:rFonts w:hAnsi="Times New Roman" w:cs="Times New Roman"/>
          <w:color w:val="auto"/>
          <w:sz w:val="24"/>
          <w:szCs w:val="24"/>
        </w:rPr>
      </w:pPr>
      <w:r>
        <w:rPr>
          <w:rFonts w:hint="eastAsia" w:hAnsi="Times New Roman" w:cs="宋体"/>
          <w:color w:val="auto"/>
          <w:sz w:val="24"/>
          <w:szCs w:val="24"/>
        </w:rPr>
        <w:t>（</w:t>
      </w:r>
      <w:r>
        <w:rPr>
          <w:rFonts w:hAnsi="Times New Roman"/>
          <w:color w:val="auto"/>
          <w:sz w:val="24"/>
          <w:szCs w:val="24"/>
        </w:rPr>
        <w:t>9</w:t>
      </w:r>
      <w:r>
        <w:rPr>
          <w:rFonts w:hint="eastAsia" w:hAnsi="Times New Roman" w:cs="宋体"/>
          <w:color w:val="auto"/>
          <w:sz w:val="24"/>
          <w:szCs w:val="24"/>
        </w:rPr>
        <w:t>）法律法规或投标人须知前附表规定的其他情形。</w:t>
      </w:r>
    </w:p>
    <w:p>
      <w:pPr>
        <w:autoSpaceDE w:val="0"/>
        <w:autoSpaceDN w:val="0"/>
        <w:snapToGrid w:val="0"/>
        <w:spacing w:line="360" w:lineRule="auto"/>
        <w:ind w:firstLine="480"/>
        <w:jc w:val="left"/>
        <w:rPr>
          <w:rFonts w:hAnsi="Times New Roman" w:cs="Times New Roman"/>
          <w:color w:val="auto"/>
          <w:sz w:val="24"/>
          <w:szCs w:val="24"/>
        </w:rPr>
      </w:pPr>
      <w:r>
        <w:rPr>
          <w:rFonts w:hAnsi="Times New Roman"/>
          <w:color w:val="auto"/>
          <w:sz w:val="24"/>
          <w:szCs w:val="24"/>
        </w:rPr>
        <w:t xml:space="preserve">1.4.4 </w:t>
      </w:r>
      <w:r>
        <w:rPr>
          <w:rFonts w:hint="eastAsia" w:hAnsi="Times New Roman" w:cs="宋体"/>
          <w:color w:val="auto"/>
          <w:sz w:val="24"/>
          <w:szCs w:val="24"/>
        </w:rPr>
        <w:t>投标人（包括联合体各成员）不得存在下列不良状况或不良信用记录：</w:t>
      </w:r>
    </w:p>
    <w:p>
      <w:pPr>
        <w:autoSpaceDE w:val="0"/>
        <w:autoSpaceDN w:val="0"/>
        <w:snapToGrid w:val="0"/>
        <w:spacing w:line="360" w:lineRule="auto"/>
        <w:ind w:firstLine="480"/>
        <w:jc w:val="left"/>
        <w:rPr>
          <w:rFonts w:hAnsi="Times New Roman" w:cs="Times New Roman"/>
          <w:color w:val="auto"/>
          <w:sz w:val="24"/>
          <w:szCs w:val="24"/>
        </w:rPr>
      </w:pPr>
      <w:r>
        <w:rPr>
          <w:rFonts w:hint="eastAsia" w:hAnsi="Times New Roman" w:cs="宋体"/>
          <w:color w:val="auto"/>
          <w:sz w:val="24"/>
          <w:szCs w:val="24"/>
        </w:rPr>
        <w:t>（</w:t>
      </w:r>
      <w:r>
        <w:rPr>
          <w:rFonts w:hAnsi="Times New Roman"/>
          <w:color w:val="auto"/>
          <w:sz w:val="24"/>
          <w:szCs w:val="24"/>
        </w:rPr>
        <w:t>1</w:t>
      </w:r>
      <w:r>
        <w:rPr>
          <w:rFonts w:hint="eastAsia" w:hAnsi="Times New Roman" w:cs="宋体"/>
          <w:color w:val="auto"/>
          <w:sz w:val="24"/>
          <w:szCs w:val="24"/>
        </w:rPr>
        <w:t>）被省级及以上交通运输主管部门取消招标项目所在地的投标资格且处于有效期内；</w:t>
      </w:r>
    </w:p>
    <w:p>
      <w:pPr>
        <w:autoSpaceDE w:val="0"/>
        <w:autoSpaceDN w:val="0"/>
        <w:snapToGrid w:val="0"/>
        <w:spacing w:line="360" w:lineRule="auto"/>
        <w:ind w:firstLine="480"/>
        <w:jc w:val="left"/>
        <w:rPr>
          <w:rFonts w:hAnsi="Times New Roman" w:cs="Times New Roman"/>
          <w:color w:val="auto"/>
          <w:sz w:val="24"/>
          <w:szCs w:val="24"/>
        </w:rPr>
      </w:pPr>
      <w:r>
        <w:rPr>
          <w:rFonts w:hint="eastAsia" w:hAnsi="Times New Roman" w:cs="宋体"/>
          <w:color w:val="auto"/>
          <w:sz w:val="24"/>
          <w:szCs w:val="24"/>
        </w:rPr>
        <w:t>（</w:t>
      </w:r>
      <w:r>
        <w:rPr>
          <w:rFonts w:hAnsi="Times New Roman"/>
          <w:color w:val="auto"/>
          <w:sz w:val="24"/>
          <w:szCs w:val="24"/>
        </w:rPr>
        <w:t>2</w:t>
      </w:r>
      <w:r>
        <w:rPr>
          <w:rFonts w:hint="eastAsia" w:hAnsi="Times New Roman" w:cs="宋体"/>
          <w:color w:val="auto"/>
          <w:sz w:val="24"/>
          <w:szCs w:val="24"/>
        </w:rPr>
        <w:t>）被责令停业，暂扣或吊销执照，或吊销资质证书；</w:t>
      </w:r>
    </w:p>
    <w:p>
      <w:pPr>
        <w:autoSpaceDE w:val="0"/>
        <w:autoSpaceDN w:val="0"/>
        <w:snapToGrid w:val="0"/>
        <w:spacing w:line="360" w:lineRule="auto"/>
        <w:ind w:firstLine="480"/>
        <w:jc w:val="left"/>
        <w:rPr>
          <w:rFonts w:hAnsi="Times New Roman" w:cs="Times New Roman"/>
          <w:color w:val="auto"/>
          <w:sz w:val="24"/>
          <w:szCs w:val="24"/>
        </w:rPr>
      </w:pPr>
      <w:r>
        <w:rPr>
          <w:rFonts w:hint="eastAsia" w:hAnsi="Times New Roman" w:cs="宋体"/>
          <w:color w:val="auto"/>
          <w:sz w:val="24"/>
          <w:szCs w:val="24"/>
        </w:rPr>
        <w:t>（</w:t>
      </w:r>
      <w:r>
        <w:rPr>
          <w:rFonts w:hAnsi="Times New Roman"/>
          <w:color w:val="auto"/>
          <w:sz w:val="24"/>
          <w:szCs w:val="24"/>
        </w:rPr>
        <w:t>3</w:t>
      </w:r>
      <w:r>
        <w:rPr>
          <w:rFonts w:hint="eastAsia" w:hAnsi="Times New Roman" w:cs="宋体"/>
          <w:color w:val="auto"/>
          <w:sz w:val="24"/>
          <w:szCs w:val="24"/>
        </w:rPr>
        <w:t>）进入清算程序，或被宣告破产，或其它丧失履约能力的情形；</w:t>
      </w:r>
    </w:p>
    <w:p>
      <w:pPr>
        <w:autoSpaceDE w:val="0"/>
        <w:autoSpaceDN w:val="0"/>
        <w:snapToGrid w:val="0"/>
        <w:spacing w:line="360" w:lineRule="auto"/>
        <w:ind w:firstLine="480"/>
        <w:jc w:val="left"/>
        <w:rPr>
          <w:rFonts w:hAnsi="Times New Roman" w:cs="Times New Roman"/>
          <w:color w:val="auto"/>
          <w:sz w:val="24"/>
          <w:szCs w:val="24"/>
        </w:rPr>
      </w:pPr>
      <w:r>
        <w:rPr>
          <w:rFonts w:hint="eastAsia" w:hAnsi="Times New Roman" w:cs="宋体"/>
          <w:color w:val="auto"/>
          <w:sz w:val="24"/>
          <w:szCs w:val="24"/>
        </w:rPr>
        <w:t>（</w:t>
      </w:r>
      <w:r>
        <w:rPr>
          <w:rFonts w:hAnsi="Times New Roman"/>
          <w:color w:val="auto"/>
          <w:sz w:val="24"/>
          <w:szCs w:val="24"/>
        </w:rPr>
        <w:t>4</w:t>
      </w:r>
      <w:r>
        <w:rPr>
          <w:rFonts w:hint="eastAsia" w:hAnsi="Times New Roman" w:cs="宋体"/>
          <w:color w:val="auto"/>
          <w:sz w:val="24"/>
          <w:szCs w:val="24"/>
        </w:rPr>
        <w:t>）在国家企业信用信息公示系统（</w:t>
      </w:r>
      <w:r>
        <w:rPr>
          <w:rFonts w:hAnsi="Times New Roman"/>
          <w:color w:val="auto"/>
          <w:sz w:val="24"/>
          <w:szCs w:val="24"/>
        </w:rPr>
        <w:t>http://www.gsxt.gov.cn/</w:t>
      </w:r>
      <w:r>
        <w:rPr>
          <w:rFonts w:hint="eastAsia" w:hAnsi="Times New Roman" w:cs="宋体"/>
          <w:color w:val="auto"/>
          <w:sz w:val="24"/>
          <w:szCs w:val="24"/>
        </w:rPr>
        <w:t>）中被列入严重违法失信企业名单；</w:t>
      </w:r>
    </w:p>
    <w:p>
      <w:pPr>
        <w:autoSpaceDE w:val="0"/>
        <w:autoSpaceDN w:val="0"/>
        <w:snapToGrid w:val="0"/>
        <w:spacing w:line="360" w:lineRule="auto"/>
        <w:ind w:firstLine="480"/>
        <w:jc w:val="left"/>
        <w:rPr>
          <w:rFonts w:hAnsi="Times New Roman" w:cs="Times New Roman"/>
          <w:color w:val="auto"/>
          <w:sz w:val="24"/>
          <w:szCs w:val="24"/>
        </w:rPr>
      </w:pPr>
      <w:r>
        <w:rPr>
          <w:rFonts w:hint="eastAsia" w:hAnsi="Times New Roman" w:cs="宋体"/>
          <w:color w:val="auto"/>
          <w:sz w:val="24"/>
          <w:szCs w:val="24"/>
        </w:rPr>
        <w:t>（</w:t>
      </w:r>
      <w:r>
        <w:rPr>
          <w:rFonts w:hAnsi="Times New Roman"/>
          <w:color w:val="auto"/>
          <w:sz w:val="24"/>
          <w:szCs w:val="24"/>
        </w:rPr>
        <w:t>5</w:t>
      </w:r>
      <w:r>
        <w:rPr>
          <w:rFonts w:hint="eastAsia" w:hAnsi="Times New Roman" w:cs="宋体"/>
          <w:color w:val="auto"/>
          <w:sz w:val="24"/>
          <w:szCs w:val="24"/>
        </w:rPr>
        <w:t>）在“信用中国”网站（</w:t>
      </w:r>
      <w:r>
        <w:rPr>
          <w:rFonts w:hAnsi="Times New Roman"/>
          <w:color w:val="auto"/>
          <w:sz w:val="24"/>
          <w:szCs w:val="24"/>
        </w:rPr>
        <w:t>http://www/creditchina.gov.cn/</w:t>
      </w:r>
      <w:r>
        <w:rPr>
          <w:rFonts w:hint="eastAsia" w:hAnsi="Times New Roman" w:cs="宋体"/>
          <w:color w:val="auto"/>
          <w:sz w:val="24"/>
          <w:szCs w:val="24"/>
        </w:rPr>
        <w:t>）中被列入失信被执行人名单；</w:t>
      </w:r>
    </w:p>
    <w:p>
      <w:pPr>
        <w:autoSpaceDE w:val="0"/>
        <w:autoSpaceDN w:val="0"/>
        <w:snapToGrid w:val="0"/>
        <w:spacing w:line="360" w:lineRule="auto"/>
        <w:ind w:firstLine="480"/>
        <w:jc w:val="left"/>
        <w:rPr>
          <w:rFonts w:hAnsi="Times New Roman" w:cs="Times New Roman"/>
          <w:color w:val="auto"/>
          <w:sz w:val="24"/>
          <w:szCs w:val="24"/>
        </w:rPr>
      </w:pPr>
      <w:r>
        <w:rPr>
          <w:rFonts w:hint="eastAsia" w:hAnsi="Times New Roman" w:cs="宋体"/>
          <w:color w:val="auto"/>
          <w:sz w:val="24"/>
          <w:szCs w:val="24"/>
        </w:rPr>
        <w:t>（</w:t>
      </w:r>
      <w:r>
        <w:rPr>
          <w:rFonts w:hAnsi="Times New Roman"/>
          <w:color w:val="auto"/>
          <w:sz w:val="24"/>
          <w:szCs w:val="24"/>
        </w:rPr>
        <w:t>6</w:t>
      </w:r>
      <w:r>
        <w:rPr>
          <w:rFonts w:hint="eastAsia" w:hAnsi="Times New Roman" w:cs="宋体"/>
          <w:color w:val="auto"/>
          <w:sz w:val="24"/>
          <w:szCs w:val="24"/>
        </w:rPr>
        <w:t>）投标人或其法定代表人、拟委任的项目负责人在近三年内有行贿犯罪行为的（行贿犯罪行为的认定以检察机关职务犯罪预防部门出具的查询结果为准）；</w:t>
      </w:r>
    </w:p>
    <w:p>
      <w:pPr>
        <w:autoSpaceDE w:val="0"/>
        <w:autoSpaceDN w:val="0"/>
        <w:snapToGrid w:val="0"/>
        <w:spacing w:line="360" w:lineRule="auto"/>
        <w:ind w:firstLine="480"/>
        <w:jc w:val="left"/>
        <w:rPr>
          <w:rFonts w:hAnsi="Times New Roman" w:cs="Times New Roman"/>
          <w:color w:val="auto"/>
          <w:sz w:val="24"/>
          <w:szCs w:val="24"/>
        </w:rPr>
      </w:pPr>
      <w:r>
        <w:rPr>
          <w:rFonts w:hint="eastAsia" w:hAnsi="Times New Roman" w:cs="宋体"/>
          <w:color w:val="auto"/>
          <w:sz w:val="24"/>
          <w:szCs w:val="24"/>
        </w:rPr>
        <w:t>（</w:t>
      </w:r>
      <w:r>
        <w:rPr>
          <w:rFonts w:hAnsi="Times New Roman"/>
          <w:color w:val="auto"/>
          <w:sz w:val="24"/>
          <w:szCs w:val="24"/>
        </w:rPr>
        <w:t>7</w:t>
      </w:r>
      <w:r>
        <w:rPr>
          <w:rFonts w:hint="eastAsia" w:hAnsi="Times New Roman" w:cs="宋体"/>
          <w:color w:val="auto"/>
          <w:sz w:val="24"/>
          <w:szCs w:val="24"/>
        </w:rPr>
        <w:t>）法律法规或投标人须知前附表规定的其他情形。</w:t>
      </w:r>
    </w:p>
    <w:p>
      <w:pPr>
        <w:autoSpaceDE w:val="0"/>
        <w:autoSpaceDN w:val="0"/>
        <w:snapToGrid w:val="0"/>
        <w:spacing w:line="360" w:lineRule="auto"/>
        <w:ind w:firstLine="480"/>
        <w:jc w:val="left"/>
        <w:rPr>
          <w:rFonts w:hAnsi="Times New Roman" w:cs="Times New Roman"/>
          <w:color w:val="auto"/>
          <w:sz w:val="24"/>
          <w:szCs w:val="24"/>
        </w:rPr>
      </w:pPr>
      <w:r>
        <w:rPr>
          <w:rFonts w:hAnsi="Times New Roman"/>
          <w:color w:val="auto"/>
          <w:sz w:val="24"/>
          <w:szCs w:val="24"/>
        </w:rPr>
        <w:t xml:space="preserve">1.4.5 </w:t>
      </w:r>
      <w:r>
        <w:rPr>
          <w:rFonts w:hint="eastAsia" w:hAnsi="Times New Roman" w:cs="宋体"/>
          <w:color w:val="auto"/>
          <w:sz w:val="24"/>
          <w:szCs w:val="24"/>
        </w:rPr>
        <w:t>投标人（包括联合体各成员）应进入交通运输部“全国公路建设市场信用信息管理系统（</w:t>
      </w:r>
      <w:r>
        <w:rPr>
          <w:rFonts w:hAnsi="Times New Roman"/>
          <w:color w:val="auto"/>
          <w:sz w:val="24"/>
          <w:szCs w:val="24"/>
        </w:rPr>
        <w:t>http://glxy.mot.gov.cn/</w:t>
      </w:r>
      <w:r>
        <w:rPr>
          <w:rFonts w:hint="eastAsia" w:hAnsi="Times New Roman" w:cs="宋体"/>
          <w:color w:val="auto"/>
          <w:sz w:val="24"/>
          <w:szCs w:val="24"/>
        </w:rPr>
        <w:t>）”中的公路工程设计资质企业名录，且投标人名称和资质与该名录中的相应企业名称和资质完全一致。投标人不满足本项目规定条件的，将被否决投标。</w:t>
      </w:r>
    </w:p>
    <w:p>
      <w:pPr>
        <w:autoSpaceDE w:val="0"/>
        <w:autoSpaceDN w:val="0"/>
        <w:snapToGrid w:val="0"/>
        <w:spacing w:line="360" w:lineRule="auto"/>
        <w:jc w:val="left"/>
        <w:rPr>
          <w:rFonts w:ascii="黑体" w:hAnsi="Times New Roman" w:eastAsia="黑体" w:cs="黑体"/>
          <w:color w:val="auto"/>
          <w:sz w:val="24"/>
          <w:szCs w:val="24"/>
        </w:rPr>
      </w:pPr>
      <w:r>
        <w:rPr>
          <w:rFonts w:hAnsi="Times New Roman"/>
          <w:color w:val="auto"/>
          <w:sz w:val="24"/>
          <w:szCs w:val="24"/>
        </w:rPr>
        <w:t xml:space="preserve">1.5 </w:t>
      </w:r>
      <w:r>
        <w:rPr>
          <w:rFonts w:hint="eastAsia" w:ascii="黑体" w:hAnsi="Times New Roman" w:eastAsia="黑体" w:cs="黑体"/>
          <w:color w:val="auto"/>
          <w:sz w:val="24"/>
          <w:szCs w:val="24"/>
        </w:rPr>
        <w:t>费用承担</w:t>
      </w:r>
    </w:p>
    <w:p>
      <w:pPr>
        <w:autoSpaceDE w:val="0"/>
        <w:autoSpaceDN w:val="0"/>
        <w:snapToGrid w:val="0"/>
        <w:spacing w:line="360" w:lineRule="auto"/>
        <w:ind w:firstLine="480"/>
        <w:jc w:val="left"/>
        <w:rPr>
          <w:rFonts w:hAnsi="Times New Roman"/>
          <w:color w:val="auto"/>
          <w:sz w:val="24"/>
          <w:szCs w:val="24"/>
        </w:rPr>
      </w:pPr>
      <w:r>
        <w:rPr>
          <w:rFonts w:hint="eastAsia" w:hAnsi="Times New Roman" w:cs="宋体"/>
          <w:color w:val="auto"/>
          <w:sz w:val="24"/>
          <w:szCs w:val="24"/>
        </w:rPr>
        <w:t>投标人准备和参加投标活动发生的费用自理。</w:t>
      </w:r>
    </w:p>
    <w:p>
      <w:pPr>
        <w:autoSpaceDE w:val="0"/>
        <w:autoSpaceDN w:val="0"/>
        <w:snapToGrid w:val="0"/>
        <w:spacing w:line="360" w:lineRule="auto"/>
        <w:jc w:val="left"/>
        <w:rPr>
          <w:rFonts w:ascii="黑体" w:hAnsi="Times New Roman" w:eastAsia="黑体" w:cs="黑体"/>
          <w:color w:val="auto"/>
          <w:sz w:val="24"/>
          <w:szCs w:val="24"/>
        </w:rPr>
      </w:pPr>
      <w:r>
        <w:rPr>
          <w:rFonts w:hAnsi="Times New Roman"/>
          <w:color w:val="auto"/>
          <w:sz w:val="24"/>
          <w:szCs w:val="24"/>
        </w:rPr>
        <w:t xml:space="preserve">1.6 </w:t>
      </w:r>
      <w:r>
        <w:rPr>
          <w:rFonts w:hint="eastAsia" w:ascii="黑体" w:hAnsi="Times New Roman" w:eastAsia="黑体" w:cs="黑体"/>
          <w:color w:val="auto"/>
          <w:sz w:val="24"/>
          <w:szCs w:val="24"/>
        </w:rPr>
        <w:t>保密</w:t>
      </w:r>
    </w:p>
    <w:p>
      <w:pPr>
        <w:autoSpaceDE w:val="0"/>
        <w:autoSpaceDN w:val="0"/>
        <w:snapToGrid w:val="0"/>
        <w:spacing w:line="360" w:lineRule="auto"/>
        <w:ind w:firstLine="480"/>
        <w:jc w:val="left"/>
        <w:rPr>
          <w:rFonts w:hAnsi="Times New Roman"/>
          <w:color w:val="auto"/>
          <w:sz w:val="24"/>
          <w:szCs w:val="24"/>
        </w:rPr>
      </w:pPr>
      <w:r>
        <w:rPr>
          <w:rFonts w:hint="eastAsia" w:hAnsi="Times New Roman" w:cs="宋体"/>
          <w:color w:val="auto"/>
          <w:sz w:val="24"/>
          <w:szCs w:val="24"/>
        </w:rPr>
        <w:t>参与招标投标活动的各方应对招标文件和投标文件中的商业和技术等秘密保密，否则应承担相应的法律责任。</w:t>
      </w:r>
    </w:p>
    <w:p>
      <w:pPr>
        <w:autoSpaceDE w:val="0"/>
        <w:autoSpaceDN w:val="0"/>
        <w:snapToGrid w:val="0"/>
        <w:spacing w:line="360" w:lineRule="auto"/>
        <w:jc w:val="left"/>
        <w:rPr>
          <w:rFonts w:ascii="黑体" w:hAnsi="Times New Roman" w:eastAsia="黑体" w:cs="黑体"/>
          <w:color w:val="auto"/>
          <w:sz w:val="24"/>
          <w:szCs w:val="24"/>
        </w:rPr>
      </w:pPr>
      <w:r>
        <w:rPr>
          <w:rFonts w:hAnsi="Times New Roman"/>
          <w:color w:val="auto"/>
          <w:sz w:val="24"/>
          <w:szCs w:val="24"/>
        </w:rPr>
        <w:t xml:space="preserve">1.7 </w:t>
      </w:r>
      <w:r>
        <w:rPr>
          <w:rFonts w:hint="eastAsia" w:ascii="黑体" w:hAnsi="Times New Roman" w:eastAsia="黑体" w:cs="黑体"/>
          <w:color w:val="auto"/>
          <w:sz w:val="24"/>
          <w:szCs w:val="24"/>
        </w:rPr>
        <w:t>语言文字</w:t>
      </w:r>
    </w:p>
    <w:p>
      <w:pPr>
        <w:autoSpaceDE w:val="0"/>
        <w:autoSpaceDN w:val="0"/>
        <w:snapToGrid w:val="0"/>
        <w:spacing w:line="360" w:lineRule="auto"/>
        <w:ind w:firstLine="480"/>
        <w:jc w:val="left"/>
        <w:rPr>
          <w:rFonts w:hAnsi="Times New Roman"/>
          <w:color w:val="auto"/>
          <w:sz w:val="24"/>
          <w:szCs w:val="24"/>
        </w:rPr>
      </w:pPr>
      <w:r>
        <w:rPr>
          <w:rFonts w:hint="eastAsia" w:hAnsi="Times New Roman" w:cs="宋体"/>
          <w:color w:val="auto"/>
          <w:sz w:val="24"/>
          <w:szCs w:val="24"/>
        </w:rPr>
        <w:t>招标投标文件使用的语言文字为中文。专用术语实用外文的，应附有中文注释。</w:t>
      </w:r>
    </w:p>
    <w:p>
      <w:pPr>
        <w:autoSpaceDE w:val="0"/>
        <w:autoSpaceDN w:val="0"/>
        <w:snapToGrid w:val="0"/>
        <w:spacing w:line="360" w:lineRule="auto"/>
        <w:jc w:val="left"/>
        <w:rPr>
          <w:rFonts w:ascii="黑体" w:hAnsi="Times New Roman" w:eastAsia="黑体" w:cs="黑体"/>
          <w:color w:val="auto"/>
          <w:sz w:val="24"/>
          <w:szCs w:val="24"/>
        </w:rPr>
      </w:pPr>
      <w:r>
        <w:rPr>
          <w:rFonts w:hAnsi="Times New Roman"/>
          <w:color w:val="auto"/>
          <w:sz w:val="24"/>
          <w:szCs w:val="24"/>
        </w:rPr>
        <w:t xml:space="preserve">1.8 </w:t>
      </w:r>
      <w:r>
        <w:rPr>
          <w:rFonts w:hint="eastAsia" w:ascii="黑体" w:hAnsi="Times New Roman" w:eastAsia="黑体" w:cs="黑体"/>
          <w:color w:val="auto"/>
          <w:sz w:val="24"/>
          <w:szCs w:val="24"/>
        </w:rPr>
        <w:t>计量单位</w:t>
      </w:r>
    </w:p>
    <w:p>
      <w:pPr>
        <w:autoSpaceDE w:val="0"/>
        <w:autoSpaceDN w:val="0"/>
        <w:snapToGrid w:val="0"/>
        <w:spacing w:line="360" w:lineRule="auto"/>
        <w:ind w:firstLine="480"/>
        <w:jc w:val="left"/>
        <w:rPr>
          <w:rFonts w:hAnsi="Times New Roman"/>
          <w:color w:val="auto"/>
          <w:sz w:val="24"/>
          <w:szCs w:val="24"/>
        </w:rPr>
      </w:pPr>
      <w:r>
        <w:rPr>
          <w:rFonts w:hint="eastAsia" w:hAnsi="Times New Roman" w:cs="宋体"/>
          <w:color w:val="auto"/>
          <w:sz w:val="24"/>
          <w:szCs w:val="24"/>
        </w:rPr>
        <w:t>所有计量均采用中华人民共和国法定计量单位。</w:t>
      </w:r>
    </w:p>
    <w:p>
      <w:pPr>
        <w:autoSpaceDE w:val="0"/>
        <w:autoSpaceDN w:val="0"/>
        <w:snapToGrid w:val="0"/>
        <w:spacing w:line="360" w:lineRule="auto"/>
        <w:jc w:val="left"/>
        <w:rPr>
          <w:rFonts w:ascii="黑体" w:hAnsi="Times New Roman" w:eastAsia="黑体" w:cs="黑体"/>
          <w:color w:val="auto"/>
          <w:sz w:val="24"/>
          <w:szCs w:val="24"/>
        </w:rPr>
      </w:pPr>
      <w:r>
        <w:rPr>
          <w:rFonts w:hAnsi="Times New Roman"/>
          <w:color w:val="auto"/>
          <w:sz w:val="24"/>
          <w:szCs w:val="24"/>
        </w:rPr>
        <w:t xml:space="preserve">1.9 </w:t>
      </w:r>
      <w:r>
        <w:rPr>
          <w:rFonts w:hint="eastAsia" w:ascii="黑体" w:hAnsi="Times New Roman" w:eastAsia="黑体" w:cs="黑体"/>
          <w:color w:val="auto"/>
          <w:sz w:val="24"/>
          <w:szCs w:val="24"/>
        </w:rPr>
        <w:t>踏勘现场</w:t>
      </w:r>
    </w:p>
    <w:p>
      <w:pPr>
        <w:autoSpaceDE w:val="0"/>
        <w:autoSpaceDN w:val="0"/>
        <w:snapToGrid w:val="0"/>
        <w:spacing w:line="360" w:lineRule="auto"/>
        <w:ind w:firstLine="480"/>
        <w:jc w:val="left"/>
        <w:rPr>
          <w:rFonts w:hAnsi="Times New Roman" w:cs="Times New Roman"/>
          <w:color w:val="auto"/>
          <w:sz w:val="24"/>
          <w:szCs w:val="24"/>
        </w:rPr>
      </w:pPr>
      <w:r>
        <w:rPr>
          <w:rFonts w:hAnsi="Times New Roman" w:eastAsia="黑体"/>
          <w:color w:val="auto"/>
          <w:sz w:val="24"/>
          <w:szCs w:val="24"/>
        </w:rPr>
        <w:t xml:space="preserve">1.9.1 </w:t>
      </w:r>
      <w:r>
        <w:rPr>
          <w:rFonts w:hint="eastAsia" w:cs="宋体"/>
          <w:color w:val="auto"/>
          <w:sz w:val="24"/>
          <w:szCs w:val="24"/>
        </w:rPr>
        <w:t>第一章“招标公告”或“投标邀请书”</w:t>
      </w:r>
      <w:r>
        <w:rPr>
          <w:rFonts w:hint="eastAsia" w:hAnsi="Times New Roman" w:cs="宋体"/>
          <w:color w:val="auto"/>
          <w:sz w:val="24"/>
          <w:szCs w:val="24"/>
        </w:rPr>
        <w:t>规定组织踏勘现场的，招标人按规定的时间、地点组织投标人踏勘项目现场。部分投标人未按时参加踏勘现场的，不影响踏勘现场的正常进行。招标人不得组织单个或部分投标人踏勘项目现场。</w:t>
      </w:r>
    </w:p>
    <w:p>
      <w:pPr>
        <w:autoSpaceDE w:val="0"/>
        <w:autoSpaceDN w:val="0"/>
        <w:snapToGrid w:val="0"/>
        <w:spacing w:line="360" w:lineRule="auto"/>
        <w:ind w:firstLine="480"/>
        <w:jc w:val="left"/>
        <w:rPr>
          <w:rFonts w:hAnsi="Times New Roman"/>
          <w:color w:val="auto"/>
          <w:sz w:val="24"/>
          <w:szCs w:val="24"/>
        </w:rPr>
      </w:pPr>
      <w:r>
        <w:rPr>
          <w:rFonts w:hAnsi="Times New Roman"/>
          <w:color w:val="auto"/>
          <w:sz w:val="24"/>
          <w:szCs w:val="24"/>
        </w:rPr>
        <w:t xml:space="preserve">1.9.2 </w:t>
      </w:r>
      <w:r>
        <w:rPr>
          <w:rFonts w:hint="eastAsia" w:hAnsi="Times New Roman" w:cs="宋体"/>
          <w:color w:val="auto"/>
          <w:sz w:val="24"/>
          <w:szCs w:val="24"/>
        </w:rPr>
        <w:t>投标人踏勘现场发生的费用自理。</w:t>
      </w:r>
    </w:p>
    <w:p>
      <w:pPr>
        <w:autoSpaceDE w:val="0"/>
        <w:autoSpaceDN w:val="0"/>
        <w:snapToGrid w:val="0"/>
        <w:spacing w:line="360" w:lineRule="auto"/>
        <w:ind w:firstLine="480"/>
        <w:jc w:val="left"/>
        <w:rPr>
          <w:rFonts w:hAnsi="Times New Roman"/>
          <w:color w:val="auto"/>
          <w:sz w:val="24"/>
          <w:szCs w:val="24"/>
        </w:rPr>
      </w:pPr>
      <w:r>
        <w:rPr>
          <w:rFonts w:hAnsi="Times New Roman"/>
          <w:color w:val="auto"/>
          <w:sz w:val="24"/>
          <w:szCs w:val="24"/>
        </w:rPr>
        <w:t xml:space="preserve">1.9.3 </w:t>
      </w:r>
      <w:r>
        <w:rPr>
          <w:rFonts w:hint="eastAsia" w:hAnsi="Times New Roman" w:cs="宋体"/>
          <w:color w:val="auto"/>
          <w:sz w:val="24"/>
          <w:szCs w:val="24"/>
        </w:rPr>
        <w:t>除招标人的原因外，投标人自行负责在踏勘现场中所发生的人员伤亡和财产损失。</w:t>
      </w:r>
    </w:p>
    <w:p>
      <w:pPr>
        <w:autoSpaceDE w:val="0"/>
        <w:autoSpaceDN w:val="0"/>
        <w:snapToGrid w:val="0"/>
        <w:spacing w:line="360" w:lineRule="auto"/>
        <w:ind w:firstLine="480"/>
        <w:jc w:val="left"/>
        <w:rPr>
          <w:rFonts w:hAnsi="Times New Roman"/>
          <w:color w:val="auto"/>
          <w:sz w:val="24"/>
          <w:szCs w:val="24"/>
        </w:rPr>
      </w:pPr>
      <w:r>
        <w:rPr>
          <w:rFonts w:hAnsi="Times New Roman"/>
          <w:color w:val="auto"/>
          <w:sz w:val="24"/>
          <w:szCs w:val="24"/>
        </w:rPr>
        <w:t xml:space="preserve">1.9.4 </w:t>
      </w:r>
      <w:r>
        <w:rPr>
          <w:rFonts w:hint="eastAsia" w:hAnsi="Times New Roman" w:cs="宋体"/>
          <w:color w:val="auto"/>
          <w:sz w:val="24"/>
          <w:szCs w:val="24"/>
        </w:rPr>
        <w:t>招标人在踏勘现场中介绍的工程场地和相关的周边环境情况，供投标人在编制投标文件时参考，招标人不对投标人据此作出的判断和决策负责。</w:t>
      </w:r>
    </w:p>
    <w:p>
      <w:pPr>
        <w:autoSpaceDE w:val="0"/>
        <w:autoSpaceDN w:val="0"/>
        <w:snapToGrid w:val="0"/>
        <w:spacing w:line="360" w:lineRule="auto"/>
        <w:jc w:val="left"/>
        <w:rPr>
          <w:rFonts w:ascii="黑体" w:hAnsi="Times New Roman" w:eastAsia="黑体" w:cs="黑体"/>
          <w:color w:val="auto"/>
          <w:sz w:val="24"/>
          <w:szCs w:val="24"/>
        </w:rPr>
      </w:pPr>
      <w:r>
        <w:rPr>
          <w:rFonts w:hAnsi="Times New Roman"/>
          <w:color w:val="auto"/>
          <w:sz w:val="24"/>
          <w:szCs w:val="24"/>
        </w:rPr>
        <w:t xml:space="preserve">1.10 </w:t>
      </w:r>
      <w:r>
        <w:rPr>
          <w:rFonts w:hint="eastAsia" w:ascii="黑体" w:hAnsi="Times New Roman" w:eastAsia="黑体" w:cs="黑体"/>
          <w:color w:val="auto"/>
          <w:sz w:val="24"/>
          <w:szCs w:val="24"/>
        </w:rPr>
        <w:t>投标预备会</w:t>
      </w:r>
    </w:p>
    <w:p>
      <w:pPr>
        <w:autoSpaceDE w:val="0"/>
        <w:autoSpaceDN w:val="0"/>
        <w:snapToGrid w:val="0"/>
        <w:spacing w:line="360" w:lineRule="auto"/>
        <w:ind w:firstLine="480"/>
        <w:jc w:val="left"/>
        <w:rPr>
          <w:rFonts w:hAnsi="Times New Roman"/>
          <w:color w:val="auto"/>
          <w:sz w:val="24"/>
          <w:szCs w:val="24"/>
        </w:rPr>
      </w:pPr>
      <w:r>
        <w:rPr>
          <w:rFonts w:hAnsi="Times New Roman"/>
          <w:color w:val="auto"/>
          <w:sz w:val="24"/>
          <w:szCs w:val="24"/>
        </w:rPr>
        <w:t xml:space="preserve">1.10.1 </w:t>
      </w:r>
      <w:r>
        <w:rPr>
          <w:rFonts w:hint="eastAsia" w:hAnsi="Times New Roman" w:cs="宋体"/>
          <w:color w:val="auto"/>
          <w:sz w:val="24"/>
          <w:szCs w:val="24"/>
        </w:rPr>
        <w:t>第一章“招标公告”或“投标邀请书”规定召开投标预备会的，招标人按规定的时间和地点召开投标预备会，澄清投标人提出的问题。</w:t>
      </w:r>
    </w:p>
    <w:p>
      <w:pPr>
        <w:autoSpaceDE w:val="0"/>
        <w:autoSpaceDN w:val="0"/>
        <w:snapToGrid w:val="0"/>
        <w:spacing w:line="360" w:lineRule="auto"/>
        <w:ind w:firstLine="480"/>
        <w:jc w:val="left"/>
        <w:rPr>
          <w:rFonts w:hAnsi="Times New Roman" w:cs="Times New Roman"/>
          <w:color w:val="auto"/>
          <w:sz w:val="24"/>
          <w:szCs w:val="24"/>
        </w:rPr>
      </w:pPr>
      <w:r>
        <w:rPr>
          <w:rFonts w:hAnsi="Times New Roman"/>
          <w:color w:val="auto"/>
          <w:sz w:val="24"/>
          <w:szCs w:val="24"/>
        </w:rPr>
        <w:t xml:space="preserve">1.10.2 </w:t>
      </w:r>
      <w:r>
        <w:rPr>
          <w:rFonts w:hint="eastAsia" w:hAnsi="Times New Roman" w:cs="宋体"/>
          <w:color w:val="auto"/>
          <w:sz w:val="24"/>
          <w:szCs w:val="24"/>
        </w:rPr>
        <w:t>投标人应按投标人须知前附表规定的时间和形式将提出的问题送达招标人，以便招标人在会议期间澄清。</w:t>
      </w:r>
    </w:p>
    <w:p>
      <w:pPr>
        <w:autoSpaceDE w:val="0"/>
        <w:autoSpaceDN w:val="0"/>
        <w:snapToGrid w:val="0"/>
        <w:spacing w:line="360" w:lineRule="auto"/>
        <w:ind w:firstLine="480"/>
        <w:jc w:val="left"/>
        <w:rPr>
          <w:rFonts w:hAnsi="Times New Roman"/>
          <w:color w:val="auto"/>
          <w:sz w:val="24"/>
          <w:szCs w:val="24"/>
        </w:rPr>
      </w:pPr>
      <w:r>
        <w:rPr>
          <w:rFonts w:hAnsi="Times New Roman"/>
          <w:color w:val="auto"/>
          <w:sz w:val="24"/>
          <w:szCs w:val="24"/>
        </w:rPr>
        <w:t xml:space="preserve">1.10.3 </w:t>
      </w:r>
      <w:r>
        <w:rPr>
          <w:rFonts w:hint="eastAsia" w:hAnsi="Times New Roman" w:cs="宋体"/>
          <w:color w:val="auto"/>
          <w:sz w:val="24"/>
          <w:szCs w:val="24"/>
        </w:rPr>
        <w:t>投标预备会后，招标人将对投标人所提问题的澄清，以本章第</w:t>
      </w:r>
      <w:r>
        <w:rPr>
          <w:rFonts w:hAnsi="Times New Roman"/>
          <w:color w:val="auto"/>
          <w:sz w:val="24"/>
          <w:szCs w:val="24"/>
        </w:rPr>
        <w:t>2.2</w:t>
      </w:r>
      <w:r>
        <w:rPr>
          <w:rFonts w:hint="eastAsia" w:hAnsi="Times New Roman" w:cs="宋体"/>
          <w:color w:val="auto"/>
          <w:sz w:val="24"/>
          <w:szCs w:val="24"/>
        </w:rPr>
        <w:t>款规定的形式通知所有购买招标文件的投标人。该澄清内容为招标文件的组成部分。</w:t>
      </w:r>
    </w:p>
    <w:p>
      <w:pPr>
        <w:autoSpaceDE w:val="0"/>
        <w:autoSpaceDN w:val="0"/>
        <w:snapToGrid w:val="0"/>
        <w:spacing w:line="360" w:lineRule="auto"/>
        <w:jc w:val="left"/>
        <w:rPr>
          <w:rFonts w:ascii="黑体" w:hAnsi="Times New Roman" w:eastAsia="黑体" w:cs="黑体"/>
          <w:color w:val="auto"/>
          <w:sz w:val="24"/>
          <w:szCs w:val="24"/>
        </w:rPr>
      </w:pPr>
      <w:r>
        <w:rPr>
          <w:rFonts w:hAnsi="Times New Roman"/>
          <w:color w:val="auto"/>
          <w:sz w:val="24"/>
          <w:szCs w:val="24"/>
        </w:rPr>
        <w:t xml:space="preserve">1.11 </w:t>
      </w:r>
      <w:r>
        <w:rPr>
          <w:rFonts w:hint="eastAsia" w:ascii="黑体" w:hAnsi="Times New Roman" w:eastAsia="黑体" w:cs="黑体"/>
          <w:color w:val="auto"/>
          <w:sz w:val="24"/>
          <w:szCs w:val="24"/>
        </w:rPr>
        <w:t>分包</w:t>
      </w:r>
    </w:p>
    <w:p>
      <w:pPr>
        <w:autoSpaceDE w:val="0"/>
        <w:autoSpaceDN w:val="0"/>
        <w:snapToGrid w:val="0"/>
        <w:spacing w:line="360" w:lineRule="auto"/>
        <w:ind w:firstLine="480"/>
        <w:jc w:val="left"/>
        <w:rPr>
          <w:rFonts w:hAnsi="Times New Roman"/>
          <w:color w:val="auto"/>
          <w:sz w:val="24"/>
          <w:szCs w:val="24"/>
        </w:rPr>
      </w:pPr>
      <w:r>
        <w:rPr>
          <w:rFonts w:hAnsi="Times New Roman"/>
          <w:color w:val="auto"/>
          <w:sz w:val="24"/>
          <w:szCs w:val="24"/>
        </w:rPr>
        <w:t xml:space="preserve">1.11.1 </w:t>
      </w:r>
      <w:r>
        <w:rPr>
          <w:rFonts w:hint="eastAsia" w:hAnsi="Times New Roman" w:cs="宋体"/>
          <w:color w:val="auto"/>
          <w:sz w:val="24"/>
          <w:szCs w:val="24"/>
        </w:rPr>
        <w:t>投标人拟在中标后将中标项目的非主体、非关键性勘察工作进行分包的，应符合以下规定：</w:t>
      </w:r>
    </w:p>
    <w:p>
      <w:pPr>
        <w:autoSpaceDE w:val="0"/>
        <w:autoSpaceDN w:val="0"/>
        <w:snapToGrid w:val="0"/>
        <w:spacing w:line="360" w:lineRule="auto"/>
        <w:ind w:firstLine="480"/>
        <w:jc w:val="left"/>
        <w:rPr>
          <w:rFonts w:hAnsi="Times New Roman" w:cs="Times New Roman"/>
          <w:color w:val="auto"/>
          <w:sz w:val="24"/>
          <w:szCs w:val="24"/>
        </w:rPr>
      </w:pPr>
      <w:r>
        <w:rPr>
          <w:rFonts w:hint="eastAsia" w:hAnsi="Times New Roman" w:cs="宋体"/>
          <w:color w:val="auto"/>
          <w:sz w:val="24"/>
          <w:szCs w:val="24"/>
        </w:rPr>
        <w:t>（</w:t>
      </w:r>
      <w:r>
        <w:rPr>
          <w:rFonts w:hAnsi="Times New Roman"/>
          <w:color w:val="auto"/>
          <w:sz w:val="24"/>
          <w:szCs w:val="24"/>
        </w:rPr>
        <w:t>1</w:t>
      </w:r>
      <w:r>
        <w:rPr>
          <w:rFonts w:hint="eastAsia" w:hAnsi="Times New Roman" w:cs="宋体"/>
          <w:color w:val="auto"/>
          <w:sz w:val="24"/>
          <w:szCs w:val="24"/>
        </w:rPr>
        <w:t>）分包内容要求：允许分包的范围仅限于工程设计中跨专业或者有特殊要求的设计工作。招标人允许分包或不允许分包的工程（如有）应在投标人须知前附表中载明。</w:t>
      </w:r>
    </w:p>
    <w:p>
      <w:pPr>
        <w:autoSpaceDE w:val="0"/>
        <w:autoSpaceDN w:val="0"/>
        <w:snapToGrid w:val="0"/>
        <w:spacing w:line="360" w:lineRule="auto"/>
        <w:ind w:firstLine="480"/>
        <w:jc w:val="left"/>
        <w:rPr>
          <w:rFonts w:hAnsi="Times New Roman" w:cs="Times New Roman"/>
          <w:color w:val="auto"/>
          <w:sz w:val="24"/>
          <w:szCs w:val="24"/>
        </w:rPr>
      </w:pPr>
      <w:r>
        <w:rPr>
          <w:rFonts w:hint="eastAsia" w:hAnsi="Times New Roman" w:cs="宋体"/>
          <w:color w:val="auto"/>
          <w:sz w:val="24"/>
          <w:szCs w:val="24"/>
        </w:rPr>
        <w:t>（</w:t>
      </w:r>
      <w:r>
        <w:rPr>
          <w:rFonts w:hAnsi="Times New Roman"/>
          <w:color w:val="auto"/>
          <w:sz w:val="24"/>
          <w:szCs w:val="24"/>
        </w:rPr>
        <w:t>2</w:t>
      </w:r>
      <w:r>
        <w:rPr>
          <w:rFonts w:hint="eastAsia" w:hAnsi="Times New Roman" w:cs="宋体"/>
          <w:color w:val="auto"/>
          <w:sz w:val="24"/>
          <w:szCs w:val="24"/>
        </w:rPr>
        <w:t>）接受分包的第三人资格要求：分包人的资格能力应与其分包工程的标准和规模相适应，且具备投标人须知前附表中规定的资格条件。</w:t>
      </w:r>
    </w:p>
    <w:p>
      <w:pPr>
        <w:autoSpaceDE w:val="0"/>
        <w:autoSpaceDN w:val="0"/>
        <w:snapToGrid w:val="0"/>
        <w:spacing w:line="360" w:lineRule="auto"/>
        <w:ind w:firstLine="480"/>
        <w:jc w:val="left"/>
        <w:rPr>
          <w:rFonts w:hAnsi="Times New Roman"/>
          <w:color w:val="auto"/>
          <w:sz w:val="24"/>
          <w:szCs w:val="24"/>
        </w:rPr>
      </w:pPr>
      <w:r>
        <w:rPr>
          <w:rFonts w:hint="eastAsia" w:hAnsi="Times New Roman" w:cs="宋体"/>
          <w:color w:val="auto"/>
          <w:sz w:val="24"/>
          <w:szCs w:val="24"/>
        </w:rPr>
        <w:t>（</w:t>
      </w:r>
      <w:r>
        <w:rPr>
          <w:rFonts w:hAnsi="Times New Roman"/>
          <w:color w:val="auto"/>
          <w:sz w:val="24"/>
          <w:szCs w:val="24"/>
        </w:rPr>
        <w:t>3</w:t>
      </w:r>
      <w:r>
        <w:rPr>
          <w:rFonts w:hint="eastAsia" w:hAnsi="Times New Roman" w:cs="宋体"/>
          <w:color w:val="auto"/>
          <w:sz w:val="24"/>
          <w:szCs w:val="24"/>
        </w:rPr>
        <w:t>）其他要求：投标人如有分包计划，应按第六章“投标文件格式”的要求填写“拟分包项目情况表”，明确拟分包的工程及规模，且投标人中标后的分包应满足合同条款第</w:t>
      </w:r>
      <w:r>
        <w:rPr>
          <w:rFonts w:hAnsi="Times New Roman"/>
          <w:color w:val="auto"/>
          <w:sz w:val="24"/>
          <w:szCs w:val="24"/>
        </w:rPr>
        <w:t>4.3</w:t>
      </w:r>
      <w:r>
        <w:rPr>
          <w:rFonts w:hint="eastAsia" w:hAnsi="Times New Roman" w:cs="宋体"/>
          <w:color w:val="auto"/>
          <w:sz w:val="24"/>
          <w:szCs w:val="24"/>
        </w:rPr>
        <w:t>款的相关要求。</w:t>
      </w:r>
    </w:p>
    <w:p>
      <w:pPr>
        <w:autoSpaceDE w:val="0"/>
        <w:autoSpaceDN w:val="0"/>
        <w:snapToGrid w:val="0"/>
        <w:spacing w:line="360" w:lineRule="auto"/>
        <w:ind w:firstLine="480"/>
        <w:jc w:val="left"/>
        <w:rPr>
          <w:rFonts w:hAnsi="Times New Roman" w:cs="Times New Roman"/>
          <w:color w:val="auto"/>
          <w:sz w:val="24"/>
          <w:szCs w:val="24"/>
        </w:rPr>
      </w:pPr>
      <w:r>
        <w:rPr>
          <w:rFonts w:hAnsi="Times New Roman"/>
          <w:color w:val="auto"/>
          <w:sz w:val="24"/>
          <w:szCs w:val="24"/>
        </w:rPr>
        <w:t xml:space="preserve">1.11.2 </w:t>
      </w:r>
      <w:r>
        <w:rPr>
          <w:rFonts w:hint="eastAsia" w:hAnsi="Times New Roman" w:cs="宋体"/>
          <w:color w:val="auto"/>
          <w:sz w:val="24"/>
          <w:szCs w:val="24"/>
        </w:rPr>
        <w:t>中标人不得向他人转让中标项目，接受分包的人不得再次分包。中标人应就分包项目向招标人负责，接受分包的人就分包项目承担连带责任。</w:t>
      </w:r>
    </w:p>
    <w:p>
      <w:pPr>
        <w:autoSpaceDE w:val="0"/>
        <w:autoSpaceDN w:val="0"/>
        <w:snapToGrid w:val="0"/>
        <w:spacing w:line="360" w:lineRule="auto"/>
        <w:jc w:val="left"/>
        <w:rPr>
          <w:rFonts w:ascii="黑体" w:hAnsi="Times New Roman" w:eastAsia="黑体" w:cs="黑体"/>
          <w:color w:val="auto"/>
          <w:sz w:val="24"/>
          <w:szCs w:val="24"/>
        </w:rPr>
      </w:pPr>
      <w:r>
        <w:rPr>
          <w:rFonts w:hAnsi="Times New Roman"/>
          <w:color w:val="auto"/>
          <w:sz w:val="24"/>
          <w:szCs w:val="24"/>
        </w:rPr>
        <w:t xml:space="preserve">1.12 </w:t>
      </w:r>
      <w:r>
        <w:rPr>
          <w:rFonts w:hint="eastAsia" w:ascii="黑体" w:hAnsi="Times New Roman" w:eastAsia="黑体" w:cs="黑体"/>
          <w:color w:val="auto"/>
          <w:sz w:val="24"/>
          <w:szCs w:val="24"/>
        </w:rPr>
        <w:t>响应和偏差</w:t>
      </w:r>
    </w:p>
    <w:p>
      <w:pPr>
        <w:autoSpaceDE w:val="0"/>
        <w:autoSpaceDN w:val="0"/>
        <w:snapToGrid w:val="0"/>
        <w:spacing w:line="360" w:lineRule="auto"/>
        <w:ind w:firstLine="480"/>
        <w:jc w:val="left"/>
        <w:rPr>
          <w:rFonts w:hAnsi="Times New Roman" w:cs="Times New Roman"/>
          <w:color w:val="auto"/>
          <w:sz w:val="24"/>
          <w:szCs w:val="24"/>
        </w:rPr>
      </w:pPr>
      <w:r>
        <w:rPr>
          <w:rFonts w:hAnsi="Times New Roman"/>
          <w:color w:val="auto"/>
          <w:sz w:val="24"/>
          <w:szCs w:val="24"/>
        </w:rPr>
        <w:t xml:space="preserve">1.12.1 </w:t>
      </w:r>
      <w:r>
        <w:rPr>
          <w:rFonts w:hint="eastAsia" w:hAnsi="Times New Roman" w:cs="宋体"/>
          <w:color w:val="auto"/>
          <w:sz w:val="24"/>
          <w:szCs w:val="24"/>
        </w:rPr>
        <w:t>投标文件偏离招标文件某些要求，视为投标文件存在偏差。偏差包括重大偏差和细微偏差。</w:t>
      </w:r>
    </w:p>
    <w:p>
      <w:pPr>
        <w:autoSpaceDE w:val="0"/>
        <w:autoSpaceDN w:val="0"/>
        <w:snapToGrid w:val="0"/>
        <w:spacing w:line="360" w:lineRule="auto"/>
        <w:ind w:firstLine="480"/>
        <w:jc w:val="left"/>
        <w:rPr>
          <w:rFonts w:hAnsi="Times New Roman" w:cs="Times New Roman"/>
          <w:color w:val="auto"/>
          <w:sz w:val="24"/>
          <w:szCs w:val="24"/>
        </w:rPr>
      </w:pPr>
      <w:r>
        <w:rPr>
          <w:rFonts w:hAnsi="Times New Roman"/>
          <w:color w:val="auto"/>
          <w:sz w:val="24"/>
          <w:szCs w:val="24"/>
        </w:rPr>
        <w:t xml:space="preserve">1.12.2 </w:t>
      </w:r>
      <w:r>
        <w:rPr>
          <w:rFonts w:hint="eastAsia" w:hAnsi="Times New Roman" w:cs="宋体"/>
          <w:color w:val="auto"/>
          <w:sz w:val="24"/>
          <w:szCs w:val="24"/>
        </w:rPr>
        <w:t>投标文件应对招标文件的实质性要求和条件作出满足性或更有利于招标人的响应，否则，视为投标文件存在重大偏差，投标人的投标将被否决。</w:t>
      </w:r>
    </w:p>
    <w:p>
      <w:pPr>
        <w:autoSpaceDE w:val="0"/>
        <w:autoSpaceDN w:val="0"/>
        <w:snapToGrid w:val="0"/>
        <w:spacing w:line="360" w:lineRule="auto"/>
        <w:ind w:firstLine="480"/>
        <w:jc w:val="left"/>
        <w:rPr>
          <w:rFonts w:hAnsi="Times New Roman" w:cs="Times New Roman"/>
          <w:color w:val="auto"/>
          <w:sz w:val="24"/>
          <w:szCs w:val="24"/>
        </w:rPr>
      </w:pPr>
      <w:r>
        <w:rPr>
          <w:rFonts w:hint="eastAsia" w:hAnsi="Times New Roman" w:cs="宋体"/>
          <w:color w:val="auto"/>
          <w:sz w:val="24"/>
          <w:szCs w:val="24"/>
        </w:rPr>
        <w:t>投标文件存在第三章“评标办法”中所列任一否决投标情形的，均属于存在重大偏差。</w:t>
      </w:r>
    </w:p>
    <w:p>
      <w:pPr>
        <w:autoSpaceDE w:val="0"/>
        <w:autoSpaceDN w:val="0"/>
        <w:snapToGrid w:val="0"/>
        <w:spacing w:line="360" w:lineRule="auto"/>
        <w:ind w:firstLine="480"/>
        <w:jc w:val="left"/>
        <w:rPr>
          <w:rFonts w:hAnsi="Times New Roman"/>
          <w:color w:val="auto"/>
          <w:sz w:val="24"/>
          <w:szCs w:val="24"/>
        </w:rPr>
      </w:pPr>
      <w:r>
        <w:rPr>
          <w:rFonts w:hAnsi="Times New Roman"/>
          <w:color w:val="auto"/>
          <w:sz w:val="24"/>
          <w:szCs w:val="24"/>
        </w:rPr>
        <w:t xml:space="preserve">1.12.3 </w:t>
      </w:r>
      <w:r>
        <w:rPr>
          <w:rFonts w:hint="eastAsia" w:hAnsi="Times New Roman" w:cs="宋体"/>
          <w:color w:val="auto"/>
          <w:sz w:val="24"/>
          <w:szCs w:val="24"/>
        </w:rPr>
        <w:t>投标文件中的下列偏差为细微偏差：</w:t>
      </w:r>
    </w:p>
    <w:p>
      <w:pPr>
        <w:autoSpaceDE w:val="0"/>
        <w:autoSpaceDN w:val="0"/>
        <w:snapToGrid w:val="0"/>
        <w:spacing w:line="360" w:lineRule="auto"/>
        <w:ind w:firstLine="480"/>
        <w:jc w:val="left"/>
        <w:rPr>
          <w:rFonts w:hAnsi="Times New Roman"/>
          <w:color w:val="auto"/>
          <w:sz w:val="24"/>
          <w:szCs w:val="24"/>
        </w:rPr>
      </w:pPr>
      <w:r>
        <w:rPr>
          <w:rFonts w:hint="eastAsia" w:hAnsi="Times New Roman" w:cs="宋体"/>
          <w:color w:val="auto"/>
          <w:sz w:val="24"/>
          <w:szCs w:val="24"/>
        </w:rPr>
        <w:t>（</w:t>
      </w:r>
      <w:r>
        <w:rPr>
          <w:rFonts w:hAnsi="Times New Roman"/>
          <w:color w:val="auto"/>
          <w:sz w:val="24"/>
          <w:szCs w:val="24"/>
        </w:rPr>
        <w:t>1</w:t>
      </w:r>
      <w:r>
        <w:rPr>
          <w:rFonts w:hint="eastAsia" w:hAnsi="Times New Roman" w:cs="宋体"/>
          <w:color w:val="auto"/>
          <w:sz w:val="24"/>
          <w:szCs w:val="24"/>
        </w:rPr>
        <w:t>）在按照第三章“评标办法”的规定对投标价进行算术性错误修正后，最终投标报价未超最高投标限价（如有）的情况下，出现第三章“评标办法”规定的算术性错误；</w:t>
      </w:r>
    </w:p>
    <w:p>
      <w:pPr>
        <w:autoSpaceDE w:val="0"/>
        <w:autoSpaceDN w:val="0"/>
        <w:snapToGrid w:val="0"/>
        <w:spacing w:line="360" w:lineRule="auto"/>
        <w:ind w:firstLine="480"/>
        <w:jc w:val="left"/>
        <w:rPr>
          <w:rFonts w:hAnsi="Times New Roman"/>
          <w:color w:val="auto"/>
          <w:sz w:val="24"/>
          <w:szCs w:val="24"/>
        </w:rPr>
      </w:pPr>
      <w:r>
        <w:rPr>
          <w:rFonts w:hint="eastAsia" w:hAnsi="Times New Roman" w:cs="宋体"/>
          <w:color w:val="auto"/>
          <w:sz w:val="24"/>
          <w:szCs w:val="24"/>
        </w:rPr>
        <w:t>（</w:t>
      </w:r>
      <w:r>
        <w:rPr>
          <w:rFonts w:hAnsi="Times New Roman"/>
          <w:color w:val="auto"/>
          <w:sz w:val="24"/>
          <w:szCs w:val="24"/>
        </w:rPr>
        <w:t>2</w:t>
      </w:r>
      <w:r>
        <w:rPr>
          <w:rFonts w:hint="eastAsia" w:hAnsi="Times New Roman" w:cs="宋体"/>
          <w:color w:val="auto"/>
          <w:sz w:val="24"/>
          <w:szCs w:val="24"/>
        </w:rPr>
        <w:t>）技术建议书不够完善。</w:t>
      </w:r>
    </w:p>
    <w:p>
      <w:pPr>
        <w:autoSpaceDE w:val="0"/>
        <w:autoSpaceDN w:val="0"/>
        <w:snapToGrid w:val="0"/>
        <w:spacing w:line="360" w:lineRule="auto"/>
        <w:ind w:firstLine="480"/>
        <w:jc w:val="left"/>
        <w:rPr>
          <w:rFonts w:hAnsi="Times New Roman" w:cs="Times New Roman"/>
          <w:color w:val="auto"/>
          <w:sz w:val="24"/>
          <w:szCs w:val="24"/>
        </w:rPr>
      </w:pPr>
      <w:r>
        <w:rPr>
          <w:rFonts w:hint="eastAsia" w:hAnsi="Times New Roman" w:cs="宋体"/>
          <w:color w:val="auto"/>
          <w:sz w:val="24"/>
          <w:szCs w:val="24"/>
        </w:rPr>
        <w:t>（</w:t>
      </w:r>
      <w:r>
        <w:rPr>
          <w:rFonts w:hAnsi="Times New Roman"/>
          <w:color w:val="auto"/>
          <w:sz w:val="24"/>
          <w:szCs w:val="24"/>
        </w:rPr>
        <w:t>3</w:t>
      </w:r>
      <w:r>
        <w:rPr>
          <w:rFonts w:hint="eastAsia" w:hAnsi="Times New Roman" w:cs="宋体"/>
          <w:color w:val="auto"/>
          <w:sz w:val="24"/>
          <w:szCs w:val="24"/>
        </w:rPr>
        <w:t>）投标文件页码不连续、采用活页夹装订、个别文字有遗漏错误等不影响投标文件实质性内容的偏差。</w:t>
      </w:r>
    </w:p>
    <w:p>
      <w:pPr>
        <w:autoSpaceDE w:val="0"/>
        <w:autoSpaceDN w:val="0"/>
        <w:snapToGrid w:val="0"/>
        <w:spacing w:line="360" w:lineRule="auto"/>
        <w:ind w:firstLine="480"/>
        <w:jc w:val="left"/>
        <w:rPr>
          <w:rFonts w:hAnsi="Times New Roman"/>
          <w:color w:val="auto"/>
          <w:sz w:val="24"/>
          <w:szCs w:val="24"/>
        </w:rPr>
      </w:pPr>
      <w:r>
        <w:rPr>
          <w:rFonts w:hAnsi="Times New Roman"/>
          <w:color w:val="auto"/>
          <w:sz w:val="24"/>
          <w:szCs w:val="24"/>
        </w:rPr>
        <w:t xml:space="preserve">1.12.4 </w:t>
      </w:r>
      <w:r>
        <w:rPr>
          <w:rFonts w:hint="eastAsia" w:hAnsi="Times New Roman" w:cs="宋体"/>
          <w:color w:val="auto"/>
          <w:sz w:val="24"/>
          <w:szCs w:val="24"/>
        </w:rPr>
        <w:t>评标委员会对投标文件中的细微偏差按如下规定处理：</w:t>
      </w:r>
    </w:p>
    <w:p>
      <w:pPr>
        <w:autoSpaceDE w:val="0"/>
        <w:autoSpaceDN w:val="0"/>
        <w:snapToGrid w:val="0"/>
        <w:spacing w:line="360" w:lineRule="auto"/>
        <w:ind w:firstLine="480"/>
        <w:jc w:val="left"/>
        <w:rPr>
          <w:rFonts w:hAnsi="Times New Roman" w:cs="Times New Roman"/>
          <w:color w:val="auto"/>
          <w:sz w:val="24"/>
          <w:szCs w:val="24"/>
        </w:rPr>
      </w:pPr>
      <w:r>
        <w:rPr>
          <w:rFonts w:hint="eastAsia" w:hAnsi="Times New Roman" w:cs="宋体"/>
          <w:color w:val="auto"/>
          <w:sz w:val="24"/>
          <w:szCs w:val="24"/>
        </w:rPr>
        <w:t>（</w:t>
      </w:r>
      <w:r>
        <w:rPr>
          <w:rFonts w:hAnsi="Times New Roman"/>
          <w:color w:val="auto"/>
          <w:sz w:val="24"/>
          <w:szCs w:val="24"/>
        </w:rPr>
        <w:t>1</w:t>
      </w:r>
      <w:r>
        <w:rPr>
          <w:rFonts w:hint="eastAsia" w:hAnsi="Times New Roman" w:cs="宋体"/>
          <w:color w:val="auto"/>
          <w:sz w:val="24"/>
          <w:szCs w:val="24"/>
        </w:rPr>
        <w:t>）对于本章第</w:t>
      </w:r>
      <w:r>
        <w:rPr>
          <w:rFonts w:hAnsi="Times New Roman"/>
          <w:color w:val="auto"/>
          <w:sz w:val="24"/>
          <w:szCs w:val="24"/>
        </w:rPr>
        <w:t>1.12.3</w:t>
      </w:r>
      <w:r>
        <w:rPr>
          <w:rFonts w:hint="eastAsia" w:hAnsi="Times New Roman" w:cs="宋体"/>
          <w:color w:val="auto"/>
          <w:sz w:val="24"/>
          <w:szCs w:val="24"/>
        </w:rPr>
        <w:t>项（</w:t>
      </w:r>
      <w:r>
        <w:rPr>
          <w:rFonts w:hAnsi="Times New Roman"/>
          <w:color w:val="auto"/>
          <w:sz w:val="24"/>
          <w:szCs w:val="24"/>
        </w:rPr>
        <w:t>1</w:t>
      </w:r>
      <w:r>
        <w:rPr>
          <w:rFonts w:hint="eastAsia" w:hAnsi="Times New Roman" w:cs="宋体"/>
          <w:color w:val="auto"/>
          <w:sz w:val="24"/>
          <w:szCs w:val="24"/>
        </w:rPr>
        <w:t>）目所述的细微偏差，按照第三章“评标办法”的规定予以修正并要求投标人进行澄清；</w:t>
      </w:r>
    </w:p>
    <w:p>
      <w:pPr>
        <w:autoSpaceDE w:val="0"/>
        <w:autoSpaceDN w:val="0"/>
        <w:snapToGrid w:val="0"/>
        <w:spacing w:line="360" w:lineRule="auto"/>
        <w:ind w:firstLine="480"/>
        <w:jc w:val="left"/>
        <w:rPr>
          <w:rFonts w:hAnsi="Times New Roman" w:cs="Times New Roman"/>
          <w:color w:val="auto"/>
          <w:sz w:val="24"/>
          <w:szCs w:val="24"/>
        </w:rPr>
      </w:pPr>
      <w:r>
        <w:rPr>
          <w:rFonts w:hint="eastAsia" w:hAnsi="Times New Roman" w:cs="宋体"/>
          <w:color w:val="auto"/>
          <w:sz w:val="24"/>
          <w:szCs w:val="24"/>
        </w:rPr>
        <w:t>（</w:t>
      </w:r>
      <w:r>
        <w:rPr>
          <w:rFonts w:hAnsi="Times New Roman"/>
          <w:color w:val="auto"/>
          <w:sz w:val="24"/>
          <w:szCs w:val="24"/>
        </w:rPr>
        <w:t>2</w:t>
      </w:r>
      <w:r>
        <w:rPr>
          <w:rFonts w:hint="eastAsia" w:hAnsi="Times New Roman" w:cs="宋体"/>
          <w:color w:val="auto"/>
          <w:sz w:val="24"/>
          <w:szCs w:val="24"/>
        </w:rPr>
        <w:t>）对于本章第</w:t>
      </w:r>
      <w:r>
        <w:rPr>
          <w:rFonts w:hAnsi="Times New Roman"/>
          <w:color w:val="auto"/>
          <w:sz w:val="24"/>
          <w:szCs w:val="24"/>
        </w:rPr>
        <w:t>1.12.3</w:t>
      </w:r>
      <w:r>
        <w:rPr>
          <w:rFonts w:hint="eastAsia" w:hAnsi="Times New Roman" w:cs="宋体"/>
          <w:color w:val="auto"/>
          <w:sz w:val="24"/>
          <w:szCs w:val="24"/>
        </w:rPr>
        <w:t>项（</w:t>
      </w:r>
      <w:r>
        <w:rPr>
          <w:rFonts w:hAnsi="Times New Roman"/>
          <w:color w:val="auto"/>
          <w:sz w:val="24"/>
          <w:szCs w:val="24"/>
        </w:rPr>
        <w:t>2</w:t>
      </w:r>
      <w:r>
        <w:rPr>
          <w:rFonts w:hint="eastAsia" w:hAnsi="Times New Roman" w:cs="宋体"/>
          <w:color w:val="auto"/>
          <w:sz w:val="24"/>
          <w:szCs w:val="24"/>
        </w:rPr>
        <w:t>）、（</w:t>
      </w:r>
      <w:r>
        <w:rPr>
          <w:rFonts w:hAnsi="Times New Roman"/>
          <w:color w:val="auto"/>
          <w:sz w:val="24"/>
          <w:szCs w:val="24"/>
        </w:rPr>
        <w:t>3</w:t>
      </w:r>
      <w:r>
        <w:rPr>
          <w:rFonts w:hint="eastAsia" w:hAnsi="Times New Roman" w:cs="宋体"/>
          <w:color w:val="auto"/>
          <w:sz w:val="24"/>
          <w:szCs w:val="24"/>
        </w:rPr>
        <w:t>）目所述的细微偏差，可在相关评分因素的评分中酌情扣分。</w:t>
      </w:r>
    </w:p>
    <w:p>
      <w:pPr>
        <w:autoSpaceDE w:val="0"/>
        <w:autoSpaceDN w:val="0"/>
        <w:snapToGrid w:val="0"/>
        <w:spacing w:line="360" w:lineRule="auto"/>
        <w:ind w:firstLine="480"/>
        <w:jc w:val="left"/>
        <w:rPr>
          <w:rFonts w:hAnsi="Times New Roman" w:cs="Times New Roman"/>
          <w:color w:val="auto"/>
          <w:sz w:val="24"/>
          <w:szCs w:val="24"/>
        </w:rPr>
      </w:pPr>
      <w:r>
        <w:rPr>
          <w:rFonts w:hAnsi="Times New Roman"/>
          <w:color w:val="auto"/>
          <w:sz w:val="24"/>
          <w:szCs w:val="24"/>
        </w:rPr>
        <w:t xml:space="preserve">1.12.5 </w:t>
      </w:r>
      <w:r>
        <w:rPr>
          <w:rFonts w:hint="eastAsia" w:hAnsi="Times New Roman" w:cs="宋体"/>
          <w:color w:val="auto"/>
          <w:sz w:val="24"/>
          <w:szCs w:val="24"/>
        </w:rPr>
        <w:t>投标人应根据招标文件的要求提供技术建议书等内容以对招标文件作出响应。</w:t>
      </w:r>
    </w:p>
    <w:p>
      <w:pPr>
        <w:autoSpaceDE w:val="0"/>
        <w:autoSpaceDN w:val="0"/>
        <w:snapToGrid w:val="0"/>
        <w:spacing w:line="360" w:lineRule="auto"/>
        <w:jc w:val="left"/>
        <w:rPr>
          <w:rFonts w:ascii="黑体" w:hAnsi="黑体" w:eastAsia="黑体" w:cs="黑体"/>
          <w:b/>
          <w:bCs/>
          <w:color w:val="auto"/>
          <w:sz w:val="30"/>
          <w:szCs w:val="30"/>
        </w:rPr>
      </w:pPr>
      <w:r>
        <w:rPr>
          <w:rFonts w:ascii="黑体" w:hAnsi="黑体" w:eastAsia="黑体" w:cs="黑体"/>
          <w:b/>
          <w:bCs/>
          <w:color w:val="auto"/>
          <w:sz w:val="30"/>
          <w:szCs w:val="30"/>
        </w:rPr>
        <w:t xml:space="preserve">2. </w:t>
      </w:r>
      <w:r>
        <w:rPr>
          <w:rFonts w:hint="eastAsia" w:ascii="黑体" w:hAnsi="黑体" w:eastAsia="黑体" w:cs="黑体"/>
          <w:b/>
          <w:bCs/>
          <w:color w:val="auto"/>
          <w:sz w:val="30"/>
          <w:szCs w:val="30"/>
        </w:rPr>
        <w:t>招标文件</w:t>
      </w:r>
    </w:p>
    <w:p>
      <w:pPr>
        <w:autoSpaceDE w:val="0"/>
        <w:autoSpaceDN w:val="0"/>
        <w:snapToGrid w:val="0"/>
        <w:spacing w:line="360" w:lineRule="auto"/>
        <w:jc w:val="left"/>
        <w:rPr>
          <w:rFonts w:ascii="黑体" w:hAnsi="Times New Roman" w:eastAsia="黑体" w:cs="黑体"/>
          <w:color w:val="auto"/>
          <w:sz w:val="24"/>
          <w:szCs w:val="24"/>
        </w:rPr>
      </w:pPr>
      <w:r>
        <w:rPr>
          <w:rFonts w:hAnsi="Times New Roman" w:eastAsia="黑体"/>
          <w:color w:val="auto"/>
          <w:sz w:val="24"/>
          <w:szCs w:val="24"/>
        </w:rPr>
        <w:t xml:space="preserve">2.1 </w:t>
      </w:r>
      <w:r>
        <w:rPr>
          <w:rFonts w:hint="eastAsia" w:ascii="黑体" w:hAnsi="Times New Roman" w:eastAsia="黑体" w:cs="黑体"/>
          <w:color w:val="auto"/>
          <w:sz w:val="24"/>
          <w:szCs w:val="24"/>
        </w:rPr>
        <w:t>招标文件的组成</w:t>
      </w:r>
    </w:p>
    <w:p>
      <w:pPr>
        <w:autoSpaceDE w:val="0"/>
        <w:autoSpaceDN w:val="0"/>
        <w:snapToGrid w:val="0"/>
        <w:spacing w:line="360" w:lineRule="auto"/>
        <w:ind w:firstLine="480"/>
        <w:jc w:val="left"/>
        <w:rPr>
          <w:rFonts w:hAnsi="Times New Roman"/>
          <w:color w:val="auto"/>
          <w:sz w:val="24"/>
          <w:szCs w:val="24"/>
        </w:rPr>
      </w:pPr>
      <w:r>
        <w:rPr>
          <w:rFonts w:hint="eastAsia" w:hAnsi="Times New Roman" w:cs="宋体"/>
          <w:color w:val="auto"/>
          <w:sz w:val="24"/>
          <w:szCs w:val="24"/>
        </w:rPr>
        <w:t>本招标文件包括：</w:t>
      </w:r>
    </w:p>
    <w:p>
      <w:pPr>
        <w:autoSpaceDE w:val="0"/>
        <w:autoSpaceDN w:val="0"/>
        <w:snapToGrid w:val="0"/>
        <w:spacing w:line="360" w:lineRule="auto"/>
        <w:ind w:firstLine="480"/>
        <w:jc w:val="left"/>
        <w:rPr>
          <w:rFonts w:hAnsi="Times New Roman"/>
          <w:color w:val="auto"/>
          <w:sz w:val="24"/>
          <w:szCs w:val="24"/>
        </w:rPr>
      </w:pPr>
      <w:r>
        <w:rPr>
          <w:rFonts w:hint="eastAsia" w:hAnsi="Times New Roman" w:cs="宋体"/>
          <w:color w:val="auto"/>
          <w:sz w:val="24"/>
          <w:szCs w:val="24"/>
        </w:rPr>
        <w:t>（</w:t>
      </w:r>
      <w:r>
        <w:rPr>
          <w:rFonts w:hAnsi="Times New Roman"/>
          <w:color w:val="auto"/>
          <w:sz w:val="24"/>
          <w:szCs w:val="24"/>
        </w:rPr>
        <w:t>1</w:t>
      </w:r>
      <w:r>
        <w:rPr>
          <w:rFonts w:hint="eastAsia" w:hAnsi="Times New Roman" w:cs="宋体"/>
          <w:color w:val="auto"/>
          <w:sz w:val="24"/>
          <w:szCs w:val="24"/>
        </w:rPr>
        <w:t>）招标公告（投标邀请书）；</w:t>
      </w:r>
    </w:p>
    <w:p>
      <w:pPr>
        <w:autoSpaceDE w:val="0"/>
        <w:autoSpaceDN w:val="0"/>
        <w:snapToGrid w:val="0"/>
        <w:spacing w:line="360" w:lineRule="auto"/>
        <w:ind w:firstLine="480"/>
        <w:jc w:val="left"/>
        <w:rPr>
          <w:rFonts w:hAnsi="Times New Roman"/>
          <w:color w:val="auto"/>
          <w:sz w:val="24"/>
          <w:szCs w:val="24"/>
        </w:rPr>
      </w:pPr>
      <w:r>
        <w:rPr>
          <w:rFonts w:hint="eastAsia" w:hAnsi="Times New Roman" w:cs="宋体"/>
          <w:color w:val="auto"/>
          <w:sz w:val="24"/>
          <w:szCs w:val="24"/>
        </w:rPr>
        <w:t>（</w:t>
      </w:r>
      <w:r>
        <w:rPr>
          <w:rFonts w:hAnsi="Times New Roman"/>
          <w:color w:val="auto"/>
          <w:sz w:val="24"/>
          <w:szCs w:val="24"/>
        </w:rPr>
        <w:t>2</w:t>
      </w:r>
      <w:r>
        <w:rPr>
          <w:rFonts w:hint="eastAsia" w:hAnsi="Times New Roman" w:cs="宋体"/>
          <w:color w:val="auto"/>
          <w:sz w:val="24"/>
          <w:szCs w:val="24"/>
        </w:rPr>
        <w:t>）投标人须知；</w:t>
      </w:r>
    </w:p>
    <w:p>
      <w:pPr>
        <w:autoSpaceDE w:val="0"/>
        <w:autoSpaceDN w:val="0"/>
        <w:snapToGrid w:val="0"/>
        <w:spacing w:line="360" w:lineRule="auto"/>
        <w:ind w:firstLine="480"/>
        <w:jc w:val="left"/>
        <w:rPr>
          <w:rFonts w:hAnsi="Times New Roman"/>
          <w:color w:val="auto"/>
          <w:sz w:val="24"/>
          <w:szCs w:val="24"/>
        </w:rPr>
      </w:pPr>
      <w:r>
        <w:rPr>
          <w:rFonts w:hint="eastAsia" w:hAnsi="Times New Roman" w:cs="宋体"/>
          <w:color w:val="auto"/>
          <w:sz w:val="24"/>
          <w:szCs w:val="24"/>
        </w:rPr>
        <w:t>（</w:t>
      </w:r>
      <w:r>
        <w:rPr>
          <w:rFonts w:hAnsi="Times New Roman"/>
          <w:color w:val="auto"/>
          <w:sz w:val="24"/>
          <w:szCs w:val="24"/>
        </w:rPr>
        <w:t>3</w:t>
      </w:r>
      <w:r>
        <w:rPr>
          <w:rFonts w:hint="eastAsia" w:hAnsi="Times New Roman" w:cs="宋体"/>
          <w:color w:val="auto"/>
          <w:sz w:val="24"/>
          <w:szCs w:val="24"/>
        </w:rPr>
        <w:t>）评标办法；</w:t>
      </w:r>
    </w:p>
    <w:p>
      <w:pPr>
        <w:autoSpaceDE w:val="0"/>
        <w:autoSpaceDN w:val="0"/>
        <w:snapToGrid w:val="0"/>
        <w:spacing w:line="360" w:lineRule="auto"/>
        <w:ind w:firstLine="480"/>
        <w:jc w:val="left"/>
        <w:rPr>
          <w:rFonts w:hAnsi="Times New Roman" w:cs="Times New Roman"/>
          <w:color w:val="auto"/>
          <w:sz w:val="24"/>
          <w:szCs w:val="24"/>
        </w:rPr>
      </w:pPr>
      <w:r>
        <w:rPr>
          <w:rFonts w:hint="eastAsia" w:hAnsi="Times New Roman" w:cs="宋体"/>
          <w:color w:val="auto"/>
          <w:sz w:val="24"/>
          <w:szCs w:val="24"/>
        </w:rPr>
        <w:t>（</w:t>
      </w:r>
      <w:r>
        <w:rPr>
          <w:rFonts w:hAnsi="Times New Roman"/>
          <w:color w:val="auto"/>
          <w:sz w:val="24"/>
          <w:szCs w:val="24"/>
        </w:rPr>
        <w:t>4</w:t>
      </w:r>
      <w:r>
        <w:rPr>
          <w:rFonts w:hint="eastAsia" w:hAnsi="Times New Roman" w:cs="宋体"/>
          <w:color w:val="auto"/>
          <w:sz w:val="24"/>
          <w:szCs w:val="24"/>
        </w:rPr>
        <w:t>）合同条款及格式；</w:t>
      </w:r>
    </w:p>
    <w:p>
      <w:pPr>
        <w:autoSpaceDE w:val="0"/>
        <w:autoSpaceDN w:val="0"/>
        <w:snapToGrid w:val="0"/>
        <w:spacing w:line="360" w:lineRule="auto"/>
        <w:ind w:firstLine="480"/>
        <w:jc w:val="left"/>
        <w:rPr>
          <w:rFonts w:hAnsi="Times New Roman"/>
          <w:color w:val="auto"/>
          <w:sz w:val="24"/>
          <w:szCs w:val="24"/>
        </w:rPr>
      </w:pPr>
      <w:r>
        <w:rPr>
          <w:rFonts w:hint="eastAsia" w:hAnsi="Times New Roman" w:cs="宋体"/>
          <w:color w:val="auto"/>
          <w:sz w:val="24"/>
          <w:szCs w:val="24"/>
        </w:rPr>
        <w:t>（</w:t>
      </w:r>
      <w:r>
        <w:rPr>
          <w:rFonts w:hAnsi="Times New Roman"/>
          <w:color w:val="auto"/>
          <w:sz w:val="24"/>
          <w:szCs w:val="24"/>
        </w:rPr>
        <w:t>5</w:t>
      </w:r>
      <w:r>
        <w:rPr>
          <w:rFonts w:hint="eastAsia" w:hAnsi="Times New Roman" w:cs="宋体"/>
          <w:color w:val="auto"/>
          <w:sz w:val="24"/>
          <w:szCs w:val="24"/>
        </w:rPr>
        <w:t>）发包人要求；</w:t>
      </w:r>
    </w:p>
    <w:p>
      <w:pPr>
        <w:autoSpaceDE w:val="0"/>
        <w:autoSpaceDN w:val="0"/>
        <w:snapToGrid w:val="0"/>
        <w:spacing w:line="360" w:lineRule="auto"/>
        <w:ind w:firstLine="480"/>
        <w:jc w:val="left"/>
        <w:rPr>
          <w:rFonts w:hAnsi="Times New Roman"/>
          <w:color w:val="auto"/>
          <w:sz w:val="24"/>
          <w:szCs w:val="24"/>
        </w:rPr>
      </w:pPr>
      <w:r>
        <w:rPr>
          <w:rFonts w:hint="eastAsia" w:hAnsi="Times New Roman" w:cs="宋体"/>
          <w:color w:val="auto"/>
          <w:sz w:val="24"/>
          <w:szCs w:val="24"/>
        </w:rPr>
        <w:t>（</w:t>
      </w:r>
      <w:r>
        <w:rPr>
          <w:rFonts w:hAnsi="Times New Roman"/>
          <w:color w:val="auto"/>
          <w:sz w:val="24"/>
          <w:szCs w:val="24"/>
        </w:rPr>
        <w:t>6</w:t>
      </w:r>
      <w:r>
        <w:rPr>
          <w:rFonts w:hint="eastAsia" w:hAnsi="Times New Roman" w:cs="宋体"/>
          <w:color w:val="auto"/>
          <w:sz w:val="24"/>
          <w:szCs w:val="24"/>
        </w:rPr>
        <w:t>）投标文件格式；</w:t>
      </w:r>
    </w:p>
    <w:p>
      <w:pPr>
        <w:autoSpaceDE w:val="0"/>
        <w:autoSpaceDN w:val="0"/>
        <w:snapToGrid w:val="0"/>
        <w:spacing w:line="360" w:lineRule="auto"/>
        <w:ind w:firstLine="480"/>
        <w:jc w:val="left"/>
        <w:rPr>
          <w:rFonts w:hAnsi="Times New Roman"/>
          <w:color w:val="auto"/>
          <w:sz w:val="24"/>
          <w:szCs w:val="24"/>
        </w:rPr>
      </w:pPr>
      <w:r>
        <w:rPr>
          <w:rFonts w:hint="eastAsia" w:hAnsi="Times New Roman" w:cs="宋体"/>
          <w:color w:val="auto"/>
          <w:sz w:val="24"/>
          <w:szCs w:val="24"/>
        </w:rPr>
        <w:t>（</w:t>
      </w:r>
      <w:r>
        <w:rPr>
          <w:rFonts w:hAnsi="Times New Roman"/>
          <w:color w:val="auto"/>
          <w:sz w:val="24"/>
          <w:szCs w:val="24"/>
        </w:rPr>
        <w:t>7</w:t>
      </w:r>
      <w:r>
        <w:rPr>
          <w:rFonts w:hint="eastAsia" w:hAnsi="Times New Roman" w:cs="宋体"/>
          <w:color w:val="auto"/>
          <w:sz w:val="24"/>
          <w:szCs w:val="24"/>
        </w:rPr>
        <w:t>）投标人须知前附表规定的其他材料。</w:t>
      </w:r>
    </w:p>
    <w:p>
      <w:pPr>
        <w:autoSpaceDE w:val="0"/>
        <w:autoSpaceDN w:val="0"/>
        <w:snapToGrid w:val="0"/>
        <w:spacing w:line="360" w:lineRule="auto"/>
        <w:ind w:firstLine="480"/>
        <w:jc w:val="left"/>
        <w:rPr>
          <w:rFonts w:hAnsi="Times New Roman"/>
          <w:color w:val="auto"/>
          <w:sz w:val="24"/>
          <w:szCs w:val="24"/>
        </w:rPr>
      </w:pPr>
      <w:r>
        <w:rPr>
          <w:rFonts w:hint="eastAsia" w:hAnsi="Times New Roman" w:cs="宋体"/>
          <w:color w:val="auto"/>
          <w:sz w:val="24"/>
          <w:szCs w:val="24"/>
        </w:rPr>
        <w:t>根据本章第</w:t>
      </w:r>
      <w:r>
        <w:rPr>
          <w:rFonts w:hAnsi="Times New Roman"/>
          <w:color w:val="auto"/>
          <w:sz w:val="24"/>
          <w:szCs w:val="24"/>
        </w:rPr>
        <w:t>1.10</w:t>
      </w:r>
      <w:r>
        <w:rPr>
          <w:rFonts w:hint="eastAsia" w:hAnsi="Times New Roman" w:cs="宋体"/>
          <w:color w:val="auto"/>
          <w:sz w:val="24"/>
          <w:szCs w:val="24"/>
        </w:rPr>
        <w:t>款、第</w:t>
      </w:r>
      <w:r>
        <w:rPr>
          <w:rFonts w:hAnsi="Times New Roman"/>
          <w:color w:val="auto"/>
          <w:sz w:val="24"/>
          <w:szCs w:val="24"/>
        </w:rPr>
        <w:t>2.2</w:t>
      </w:r>
      <w:r>
        <w:rPr>
          <w:rFonts w:hint="eastAsia" w:hAnsi="Times New Roman" w:cs="宋体"/>
          <w:color w:val="auto"/>
          <w:sz w:val="24"/>
          <w:szCs w:val="24"/>
        </w:rPr>
        <w:t>款和第</w:t>
      </w:r>
      <w:r>
        <w:rPr>
          <w:rFonts w:hAnsi="Times New Roman"/>
          <w:color w:val="auto"/>
          <w:sz w:val="24"/>
          <w:szCs w:val="24"/>
        </w:rPr>
        <w:t>2.3</w:t>
      </w:r>
      <w:r>
        <w:rPr>
          <w:rFonts w:hint="eastAsia" w:hAnsi="Times New Roman" w:cs="宋体"/>
          <w:color w:val="auto"/>
          <w:sz w:val="24"/>
          <w:szCs w:val="24"/>
        </w:rPr>
        <w:t>款对招标文件所作的澄清、修改，构成招标文件的组成部分。</w:t>
      </w:r>
    </w:p>
    <w:p>
      <w:pPr>
        <w:autoSpaceDE w:val="0"/>
        <w:autoSpaceDN w:val="0"/>
        <w:snapToGrid w:val="0"/>
        <w:spacing w:line="360" w:lineRule="auto"/>
        <w:ind w:firstLine="480"/>
        <w:jc w:val="left"/>
        <w:rPr>
          <w:rFonts w:hAnsi="Times New Roman"/>
          <w:color w:val="auto"/>
          <w:sz w:val="24"/>
          <w:szCs w:val="24"/>
        </w:rPr>
      </w:pPr>
      <w:r>
        <w:rPr>
          <w:rFonts w:hint="eastAsia" w:hAnsi="Times New Roman" w:cs="宋体"/>
          <w:color w:val="auto"/>
          <w:sz w:val="24"/>
          <w:szCs w:val="24"/>
        </w:rPr>
        <w:t>当招标文件、招标文件的澄清或修改等在同一内容的表述上不一致时，以最后发出的书面文件为准。</w:t>
      </w:r>
    </w:p>
    <w:p>
      <w:pPr>
        <w:autoSpaceDE w:val="0"/>
        <w:autoSpaceDN w:val="0"/>
        <w:snapToGrid w:val="0"/>
        <w:spacing w:line="360" w:lineRule="auto"/>
        <w:jc w:val="left"/>
        <w:rPr>
          <w:rFonts w:ascii="黑体" w:hAnsi="Times New Roman" w:eastAsia="黑体" w:cs="黑体"/>
          <w:color w:val="auto"/>
          <w:sz w:val="24"/>
          <w:szCs w:val="24"/>
        </w:rPr>
      </w:pPr>
      <w:r>
        <w:rPr>
          <w:rFonts w:hAnsi="Times New Roman"/>
          <w:color w:val="auto"/>
          <w:sz w:val="24"/>
          <w:szCs w:val="24"/>
        </w:rPr>
        <w:t xml:space="preserve">2.2 </w:t>
      </w:r>
      <w:r>
        <w:rPr>
          <w:rFonts w:hint="eastAsia" w:ascii="黑体" w:hAnsi="Times New Roman" w:eastAsia="黑体" w:cs="黑体"/>
          <w:color w:val="auto"/>
          <w:sz w:val="24"/>
          <w:szCs w:val="24"/>
        </w:rPr>
        <w:t>招标文件的澄清</w:t>
      </w:r>
    </w:p>
    <w:p>
      <w:pPr>
        <w:autoSpaceDE w:val="0"/>
        <w:autoSpaceDN w:val="0"/>
        <w:snapToGrid w:val="0"/>
        <w:spacing w:line="360" w:lineRule="auto"/>
        <w:ind w:firstLine="480"/>
        <w:jc w:val="left"/>
        <w:rPr>
          <w:rFonts w:hAnsi="Times New Roman" w:cs="Times New Roman"/>
          <w:color w:val="auto"/>
          <w:sz w:val="24"/>
          <w:szCs w:val="24"/>
        </w:rPr>
      </w:pPr>
      <w:r>
        <w:rPr>
          <w:rFonts w:hAnsi="Times New Roman" w:eastAsia="黑体"/>
          <w:color w:val="auto"/>
          <w:sz w:val="24"/>
          <w:szCs w:val="24"/>
        </w:rPr>
        <w:t>2.2.1</w:t>
      </w:r>
      <w:r>
        <w:rPr>
          <w:rFonts w:hint="eastAsia" w:hAnsi="Times New Roman" w:cs="宋体"/>
          <w:color w:val="auto"/>
          <w:sz w:val="24"/>
          <w:szCs w:val="24"/>
        </w:rPr>
        <w:t>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autoSpaceDE w:val="0"/>
        <w:autoSpaceDN w:val="0"/>
        <w:snapToGrid w:val="0"/>
        <w:spacing w:line="360" w:lineRule="auto"/>
        <w:ind w:firstLine="480"/>
        <w:jc w:val="left"/>
        <w:rPr>
          <w:rFonts w:hAnsi="Times New Roman" w:cs="Times New Roman"/>
          <w:color w:val="auto"/>
          <w:sz w:val="24"/>
          <w:szCs w:val="24"/>
        </w:rPr>
      </w:pPr>
      <w:r>
        <w:rPr>
          <w:rFonts w:hAnsi="Times New Roman"/>
          <w:color w:val="auto"/>
          <w:sz w:val="24"/>
          <w:szCs w:val="24"/>
        </w:rPr>
        <w:t xml:space="preserve">2.2.2 </w:t>
      </w:r>
      <w:r>
        <w:rPr>
          <w:rFonts w:hint="eastAsia" w:hAnsi="Times New Roman" w:cs="宋体"/>
          <w:color w:val="auto"/>
          <w:sz w:val="24"/>
          <w:szCs w:val="24"/>
        </w:rPr>
        <w:t>招标文件的澄清以投标人须知前附表规定的形式发给所有购买招标文件的投标人，但不指明澄清问题的来源。如果澄清发出的时间距本章第</w:t>
      </w:r>
      <w:r>
        <w:rPr>
          <w:rFonts w:hAnsi="Times New Roman"/>
          <w:color w:val="auto"/>
          <w:sz w:val="24"/>
          <w:szCs w:val="24"/>
        </w:rPr>
        <w:t>4.2.1</w:t>
      </w:r>
      <w:r>
        <w:rPr>
          <w:rFonts w:hint="eastAsia" w:hAnsi="Times New Roman" w:cs="宋体"/>
          <w:color w:val="auto"/>
          <w:sz w:val="24"/>
          <w:szCs w:val="24"/>
        </w:rPr>
        <w:t>项规定的投标截止时间不足</w:t>
      </w:r>
      <w:r>
        <w:rPr>
          <w:rFonts w:hAnsi="Times New Roman"/>
          <w:color w:val="auto"/>
          <w:sz w:val="24"/>
          <w:szCs w:val="24"/>
        </w:rPr>
        <w:t>15</w:t>
      </w:r>
      <w:r>
        <w:rPr>
          <w:rFonts w:hint="eastAsia" w:hAnsi="Times New Roman" w:cs="宋体"/>
          <w:color w:val="auto"/>
          <w:sz w:val="24"/>
          <w:szCs w:val="24"/>
        </w:rPr>
        <w:t>日，且澄清内容可能影响投标文件编制的，将相应延长投标截止时间。</w:t>
      </w:r>
    </w:p>
    <w:p>
      <w:pPr>
        <w:autoSpaceDE w:val="0"/>
        <w:autoSpaceDN w:val="0"/>
        <w:snapToGrid w:val="0"/>
        <w:spacing w:line="360" w:lineRule="auto"/>
        <w:ind w:firstLine="480"/>
        <w:jc w:val="left"/>
        <w:rPr>
          <w:rFonts w:hAnsi="Times New Roman"/>
          <w:color w:val="auto"/>
          <w:sz w:val="24"/>
          <w:szCs w:val="24"/>
        </w:rPr>
      </w:pPr>
      <w:r>
        <w:rPr>
          <w:rFonts w:hAnsi="Times New Roman"/>
          <w:color w:val="auto"/>
          <w:sz w:val="24"/>
          <w:szCs w:val="24"/>
        </w:rPr>
        <w:t xml:space="preserve">2.2.3 </w:t>
      </w:r>
      <w:r>
        <w:rPr>
          <w:rFonts w:hint="eastAsia" w:hAnsi="Times New Roman" w:cs="宋体"/>
          <w:color w:val="auto"/>
          <w:sz w:val="24"/>
          <w:szCs w:val="24"/>
        </w:rPr>
        <w:t>投标人在收到澄清后，应按投标人须知前附表规定的时间和形式通知招标人，确认已收到该澄清。</w:t>
      </w:r>
    </w:p>
    <w:p>
      <w:pPr>
        <w:autoSpaceDE w:val="0"/>
        <w:autoSpaceDN w:val="0"/>
        <w:snapToGrid w:val="0"/>
        <w:spacing w:line="360" w:lineRule="auto"/>
        <w:ind w:firstLine="480"/>
        <w:jc w:val="left"/>
        <w:rPr>
          <w:rFonts w:hAnsi="Times New Roman" w:cs="Times New Roman"/>
          <w:color w:val="auto"/>
          <w:sz w:val="24"/>
          <w:szCs w:val="24"/>
        </w:rPr>
      </w:pPr>
      <w:r>
        <w:rPr>
          <w:rFonts w:hAnsi="Times New Roman"/>
          <w:color w:val="auto"/>
          <w:sz w:val="24"/>
          <w:szCs w:val="24"/>
        </w:rPr>
        <w:t xml:space="preserve">2.2.4 </w:t>
      </w:r>
      <w:r>
        <w:rPr>
          <w:rFonts w:hint="eastAsia" w:hAnsi="Times New Roman" w:cs="宋体"/>
          <w:color w:val="auto"/>
          <w:sz w:val="24"/>
          <w:szCs w:val="24"/>
        </w:rPr>
        <w:t>除非招标人认为确有必要答复，否则，招标人有权拒绝回复投标人在本章第</w:t>
      </w:r>
      <w:r>
        <w:rPr>
          <w:rFonts w:hAnsi="Times New Roman"/>
          <w:color w:val="auto"/>
          <w:sz w:val="24"/>
          <w:szCs w:val="24"/>
        </w:rPr>
        <w:t>2.2.1</w:t>
      </w:r>
      <w:r>
        <w:rPr>
          <w:rFonts w:hint="eastAsia" w:hAnsi="Times New Roman" w:cs="宋体"/>
          <w:color w:val="auto"/>
          <w:sz w:val="24"/>
          <w:szCs w:val="24"/>
        </w:rPr>
        <w:t>项规定的时间后提出的任何澄清要求。</w:t>
      </w:r>
    </w:p>
    <w:p>
      <w:pPr>
        <w:autoSpaceDE w:val="0"/>
        <w:autoSpaceDN w:val="0"/>
        <w:snapToGrid w:val="0"/>
        <w:spacing w:line="360" w:lineRule="auto"/>
        <w:jc w:val="left"/>
        <w:rPr>
          <w:rFonts w:ascii="黑体" w:hAnsi="Times New Roman" w:eastAsia="黑体" w:cs="黑体"/>
          <w:color w:val="auto"/>
          <w:sz w:val="24"/>
          <w:szCs w:val="24"/>
        </w:rPr>
      </w:pPr>
      <w:r>
        <w:rPr>
          <w:rFonts w:hAnsi="Times New Roman"/>
          <w:color w:val="auto"/>
          <w:sz w:val="24"/>
          <w:szCs w:val="24"/>
        </w:rPr>
        <w:t xml:space="preserve">2.3 </w:t>
      </w:r>
      <w:r>
        <w:rPr>
          <w:rFonts w:hint="eastAsia" w:ascii="黑体" w:hAnsi="Times New Roman" w:eastAsia="黑体" w:cs="黑体"/>
          <w:color w:val="auto"/>
          <w:sz w:val="24"/>
          <w:szCs w:val="24"/>
        </w:rPr>
        <w:t>招标文件的修改</w:t>
      </w:r>
    </w:p>
    <w:p>
      <w:pPr>
        <w:autoSpaceDE w:val="0"/>
        <w:autoSpaceDN w:val="0"/>
        <w:snapToGrid w:val="0"/>
        <w:spacing w:line="360" w:lineRule="auto"/>
        <w:ind w:firstLine="480"/>
        <w:jc w:val="left"/>
        <w:rPr>
          <w:rFonts w:hAnsi="Times New Roman"/>
          <w:color w:val="auto"/>
          <w:sz w:val="24"/>
          <w:szCs w:val="24"/>
        </w:rPr>
      </w:pPr>
      <w:r>
        <w:rPr>
          <w:rFonts w:hAnsi="Times New Roman" w:eastAsia="黑体"/>
          <w:color w:val="auto"/>
          <w:sz w:val="24"/>
          <w:szCs w:val="24"/>
        </w:rPr>
        <w:t xml:space="preserve">2.3.1 </w:t>
      </w:r>
      <w:r>
        <w:rPr>
          <w:rFonts w:hint="eastAsia" w:cs="宋体"/>
          <w:color w:val="auto"/>
          <w:sz w:val="24"/>
          <w:szCs w:val="24"/>
        </w:rPr>
        <w:t>招标人以投标人</w:t>
      </w:r>
      <w:r>
        <w:rPr>
          <w:rFonts w:hint="eastAsia" w:hAnsi="Times New Roman" w:cs="宋体"/>
          <w:color w:val="auto"/>
          <w:sz w:val="24"/>
          <w:szCs w:val="24"/>
        </w:rPr>
        <w:t>须知前附表规定的形式修改招标文件，并通知所有已购买招标文件的投标人。修改招标文件的时间距本章第</w:t>
      </w:r>
      <w:r>
        <w:rPr>
          <w:rFonts w:hAnsi="Times New Roman"/>
          <w:color w:val="auto"/>
          <w:sz w:val="24"/>
          <w:szCs w:val="24"/>
        </w:rPr>
        <w:t>4.2.1</w:t>
      </w:r>
      <w:r>
        <w:rPr>
          <w:rFonts w:hint="eastAsia" w:hAnsi="Times New Roman" w:cs="宋体"/>
          <w:color w:val="auto"/>
          <w:sz w:val="24"/>
          <w:szCs w:val="24"/>
        </w:rPr>
        <w:t>项规定的投标截止时间不足</w:t>
      </w:r>
      <w:r>
        <w:rPr>
          <w:rFonts w:hAnsi="Times New Roman"/>
          <w:color w:val="auto"/>
          <w:sz w:val="24"/>
          <w:szCs w:val="24"/>
        </w:rPr>
        <w:t>15</w:t>
      </w:r>
      <w:r>
        <w:rPr>
          <w:rFonts w:hint="eastAsia" w:hAnsi="Times New Roman" w:cs="宋体"/>
          <w:color w:val="auto"/>
          <w:sz w:val="24"/>
          <w:szCs w:val="24"/>
        </w:rPr>
        <w:t>日，且修改内容可能影响投标文件编制的，将相应延长投标截止时间。</w:t>
      </w:r>
    </w:p>
    <w:p>
      <w:pPr>
        <w:autoSpaceDE w:val="0"/>
        <w:autoSpaceDN w:val="0"/>
        <w:snapToGrid w:val="0"/>
        <w:spacing w:line="360" w:lineRule="auto"/>
        <w:ind w:firstLine="480"/>
        <w:jc w:val="left"/>
        <w:rPr>
          <w:rFonts w:hAnsi="Times New Roman"/>
          <w:color w:val="auto"/>
          <w:sz w:val="24"/>
          <w:szCs w:val="24"/>
        </w:rPr>
      </w:pPr>
      <w:r>
        <w:rPr>
          <w:rFonts w:hAnsi="Times New Roman"/>
          <w:color w:val="auto"/>
          <w:sz w:val="24"/>
          <w:szCs w:val="24"/>
        </w:rPr>
        <w:t xml:space="preserve">2.3.2 </w:t>
      </w:r>
      <w:r>
        <w:rPr>
          <w:rFonts w:hint="eastAsia" w:hAnsi="Times New Roman" w:cs="宋体"/>
          <w:color w:val="auto"/>
          <w:sz w:val="24"/>
          <w:szCs w:val="24"/>
        </w:rPr>
        <w:t>投标人收到修改内容后，应按投标人须知前附表规定的时间和形式通知招标人，确认已收到该修改。</w:t>
      </w:r>
    </w:p>
    <w:p>
      <w:pPr>
        <w:autoSpaceDE w:val="0"/>
        <w:autoSpaceDN w:val="0"/>
        <w:snapToGrid w:val="0"/>
        <w:spacing w:line="360" w:lineRule="auto"/>
        <w:jc w:val="left"/>
        <w:rPr>
          <w:rFonts w:hAnsi="Times New Roman" w:cs="Times New Roman"/>
          <w:color w:val="auto"/>
          <w:sz w:val="24"/>
          <w:szCs w:val="24"/>
        </w:rPr>
      </w:pPr>
      <w:r>
        <w:rPr>
          <w:rFonts w:hAnsi="Times New Roman"/>
          <w:color w:val="auto"/>
          <w:sz w:val="24"/>
          <w:szCs w:val="24"/>
        </w:rPr>
        <w:t xml:space="preserve">2.4 </w:t>
      </w:r>
      <w:r>
        <w:rPr>
          <w:rFonts w:hint="eastAsia" w:ascii="黑体" w:hAnsi="黑体" w:eastAsia="黑体" w:cs="黑体"/>
          <w:color w:val="auto"/>
          <w:sz w:val="24"/>
          <w:szCs w:val="24"/>
        </w:rPr>
        <w:t>招标文件的异议</w:t>
      </w:r>
    </w:p>
    <w:p>
      <w:pPr>
        <w:autoSpaceDE w:val="0"/>
        <w:autoSpaceDN w:val="0"/>
        <w:snapToGrid w:val="0"/>
        <w:spacing w:line="360" w:lineRule="auto"/>
        <w:ind w:firstLine="480"/>
        <w:jc w:val="left"/>
        <w:rPr>
          <w:rFonts w:hAnsi="Times New Roman" w:cs="Times New Roman"/>
          <w:color w:val="auto"/>
          <w:sz w:val="24"/>
          <w:szCs w:val="24"/>
        </w:rPr>
      </w:pPr>
      <w:r>
        <w:rPr>
          <w:rFonts w:hint="eastAsia" w:hAnsi="Times New Roman" w:cs="宋体"/>
          <w:color w:val="auto"/>
          <w:sz w:val="24"/>
          <w:szCs w:val="24"/>
        </w:rPr>
        <w:t>投标人或其他利害关系人对招标文件有异议的，应在投标截止时间</w:t>
      </w:r>
      <w:r>
        <w:rPr>
          <w:rFonts w:hAnsi="Times New Roman"/>
          <w:color w:val="auto"/>
          <w:sz w:val="24"/>
          <w:szCs w:val="24"/>
        </w:rPr>
        <w:t>10</w:t>
      </w:r>
      <w:r>
        <w:rPr>
          <w:rFonts w:hint="eastAsia" w:hAnsi="Times New Roman" w:cs="宋体"/>
          <w:color w:val="auto"/>
          <w:sz w:val="24"/>
          <w:szCs w:val="24"/>
        </w:rPr>
        <w:t>日前以书面形式提出。招标人将在收到异议之日起</w:t>
      </w:r>
      <w:r>
        <w:rPr>
          <w:rFonts w:hAnsi="Times New Roman"/>
          <w:color w:val="auto"/>
          <w:sz w:val="24"/>
          <w:szCs w:val="24"/>
        </w:rPr>
        <w:t>3</w:t>
      </w:r>
      <w:r>
        <w:rPr>
          <w:rFonts w:hint="eastAsia" w:hAnsi="Times New Roman" w:cs="宋体"/>
          <w:color w:val="auto"/>
          <w:sz w:val="24"/>
          <w:szCs w:val="24"/>
        </w:rPr>
        <w:t>日内作出答复；作出答复前，将暂停招标投标活动。</w:t>
      </w:r>
    </w:p>
    <w:p>
      <w:pPr>
        <w:autoSpaceDE w:val="0"/>
        <w:autoSpaceDN w:val="0"/>
        <w:snapToGrid w:val="0"/>
        <w:spacing w:line="360" w:lineRule="auto"/>
        <w:jc w:val="left"/>
        <w:rPr>
          <w:rFonts w:ascii="黑体" w:hAnsi="黑体" w:eastAsia="黑体" w:cs="黑体"/>
          <w:b/>
          <w:bCs/>
          <w:color w:val="auto"/>
          <w:sz w:val="30"/>
          <w:szCs w:val="30"/>
        </w:rPr>
      </w:pPr>
      <w:r>
        <w:rPr>
          <w:rFonts w:ascii="黑体" w:hAnsi="黑体" w:eastAsia="黑体" w:cs="黑体"/>
          <w:b/>
          <w:bCs/>
          <w:color w:val="auto"/>
          <w:sz w:val="30"/>
          <w:szCs w:val="30"/>
        </w:rPr>
        <w:t xml:space="preserve">3. </w:t>
      </w:r>
      <w:r>
        <w:rPr>
          <w:rFonts w:hint="eastAsia" w:ascii="黑体" w:hAnsi="黑体" w:eastAsia="黑体" w:cs="黑体"/>
          <w:b/>
          <w:bCs/>
          <w:color w:val="auto"/>
          <w:sz w:val="30"/>
          <w:szCs w:val="30"/>
        </w:rPr>
        <w:t>投标文件</w:t>
      </w:r>
    </w:p>
    <w:p>
      <w:pPr>
        <w:autoSpaceDE w:val="0"/>
        <w:autoSpaceDN w:val="0"/>
        <w:snapToGrid w:val="0"/>
        <w:spacing w:line="360" w:lineRule="auto"/>
        <w:jc w:val="left"/>
        <w:rPr>
          <w:color w:val="auto"/>
          <w:sz w:val="24"/>
          <w:szCs w:val="24"/>
        </w:rPr>
      </w:pPr>
      <w:r>
        <w:rPr>
          <w:rFonts w:hAnsi="Times New Roman"/>
          <w:color w:val="auto"/>
          <w:sz w:val="24"/>
          <w:szCs w:val="24"/>
        </w:rPr>
        <w:t>3.1</w:t>
      </w:r>
      <w:r>
        <w:rPr>
          <w:rFonts w:hint="eastAsia" w:ascii="黑体" w:hAnsi="黑体" w:eastAsia="黑体" w:cs="黑体"/>
          <w:color w:val="auto"/>
          <w:sz w:val="24"/>
          <w:szCs w:val="24"/>
        </w:rPr>
        <w:t>投标文件的组成</w:t>
      </w:r>
    </w:p>
    <w:p>
      <w:pPr>
        <w:autoSpaceDE w:val="0"/>
        <w:autoSpaceDN w:val="0"/>
        <w:snapToGrid w:val="0"/>
        <w:spacing w:line="360" w:lineRule="auto"/>
        <w:ind w:firstLine="480"/>
        <w:jc w:val="left"/>
        <w:rPr>
          <w:rFonts w:hAnsi="Times New Roman" w:cs="Times New Roman"/>
          <w:color w:val="auto"/>
          <w:sz w:val="24"/>
          <w:szCs w:val="24"/>
        </w:rPr>
      </w:pPr>
      <w:r>
        <w:rPr>
          <w:rFonts w:hAnsi="Times New Roman"/>
          <w:color w:val="auto"/>
          <w:sz w:val="24"/>
          <w:szCs w:val="24"/>
        </w:rPr>
        <w:t xml:space="preserve">3.1.1 </w:t>
      </w:r>
      <w:r>
        <w:rPr>
          <w:rFonts w:hint="eastAsia" w:hAnsi="Times New Roman" w:cs="宋体"/>
          <w:color w:val="auto"/>
          <w:sz w:val="24"/>
          <w:szCs w:val="24"/>
        </w:rPr>
        <w:t>投标文件应采用双信封形式，包括下列内容：</w:t>
      </w:r>
    </w:p>
    <w:p>
      <w:pPr>
        <w:autoSpaceDE w:val="0"/>
        <w:autoSpaceDN w:val="0"/>
        <w:snapToGrid w:val="0"/>
        <w:spacing w:line="360" w:lineRule="auto"/>
        <w:ind w:firstLine="480"/>
        <w:jc w:val="left"/>
        <w:rPr>
          <w:rFonts w:hAnsi="Times New Roman" w:cs="Times New Roman"/>
          <w:color w:val="auto"/>
          <w:sz w:val="24"/>
          <w:szCs w:val="24"/>
        </w:rPr>
      </w:pPr>
      <w:r>
        <w:rPr>
          <w:rFonts w:hint="eastAsia" w:hAnsi="Times New Roman" w:cs="宋体"/>
          <w:color w:val="auto"/>
          <w:sz w:val="24"/>
          <w:szCs w:val="24"/>
        </w:rPr>
        <w:t>第一个信封（商务及技术文件）：</w:t>
      </w:r>
    </w:p>
    <w:p>
      <w:pPr>
        <w:autoSpaceDE w:val="0"/>
        <w:autoSpaceDN w:val="0"/>
        <w:snapToGrid w:val="0"/>
        <w:spacing w:line="360" w:lineRule="auto"/>
        <w:ind w:firstLine="480"/>
        <w:jc w:val="left"/>
        <w:rPr>
          <w:rFonts w:hAnsi="Times New Roman"/>
          <w:color w:val="auto"/>
          <w:sz w:val="24"/>
          <w:szCs w:val="24"/>
        </w:rPr>
      </w:pPr>
      <w:r>
        <w:rPr>
          <w:rFonts w:hint="eastAsia" w:hAnsi="Times New Roman" w:cs="宋体"/>
          <w:color w:val="auto"/>
          <w:sz w:val="24"/>
          <w:szCs w:val="24"/>
        </w:rPr>
        <w:t>（</w:t>
      </w:r>
      <w:r>
        <w:rPr>
          <w:rFonts w:hAnsi="Times New Roman"/>
          <w:color w:val="auto"/>
          <w:sz w:val="24"/>
          <w:szCs w:val="24"/>
        </w:rPr>
        <w:t>1</w:t>
      </w:r>
      <w:r>
        <w:rPr>
          <w:rFonts w:hint="eastAsia" w:hAnsi="Times New Roman" w:cs="宋体"/>
          <w:color w:val="auto"/>
          <w:sz w:val="24"/>
          <w:szCs w:val="24"/>
        </w:rPr>
        <w:t>）投标函；</w:t>
      </w:r>
    </w:p>
    <w:p>
      <w:pPr>
        <w:autoSpaceDE w:val="0"/>
        <w:autoSpaceDN w:val="0"/>
        <w:snapToGrid w:val="0"/>
        <w:spacing w:line="360" w:lineRule="auto"/>
        <w:ind w:firstLine="480"/>
        <w:jc w:val="left"/>
        <w:rPr>
          <w:rFonts w:hAnsi="Times New Roman" w:cs="Times New Roman"/>
          <w:color w:val="auto"/>
          <w:sz w:val="24"/>
          <w:szCs w:val="24"/>
        </w:rPr>
      </w:pPr>
      <w:r>
        <w:rPr>
          <w:rFonts w:hint="eastAsia" w:hAnsi="Times New Roman" w:cs="宋体"/>
          <w:color w:val="auto"/>
          <w:sz w:val="24"/>
          <w:szCs w:val="24"/>
        </w:rPr>
        <w:t>（</w:t>
      </w:r>
      <w:r>
        <w:rPr>
          <w:rFonts w:hAnsi="Times New Roman"/>
          <w:color w:val="auto"/>
          <w:sz w:val="24"/>
          <w:szCs w:val="24"/>
        </w:rPr>
        <w:t>2</w:t>
      </w:r>
      <w:r>
        <w:rPr>
          <w:rFonts w:hint="eastAsia" w:hAnsi="Times New Roman" w:cs="宋体"/>
          <w:color w:val="auto"/>
          <w:sz w:val="24"/>
          <w:szCs w:val="24"/>
        </w:rPr>
        <w:t>）授权委托书或法定代表人身份证明；</w:t>
      </w:r>
    </w:p>
    <w:p>
      <w:pPr>
        <w:autoSpaceDE w:val="0"/>
        <w:autoSpaceDN w:val="0"/>
        <w:snapToGrid w:val="0"/>
        <w:spacing w:line="360" w:lineRule="auto"/>
        <w:ind w:firstLine="480"/>
        <w:jc w:val="left"/>
        <w:rPr>
          <w:color w:val="auto"/>
          <w:sz w:val="24"/>
          <w:szCs w:val="24"/>
        </w:rPr>
      </w:pPr>
      <w:r>
        <w:rPr>
          <w:rFonts w:hint="eastAsia" w:cs="宋体"/>
          <w:color w:val="auto"/>
          <w:sz w:val="24"/>
          <w:szCs w:val="24"/>
        </w:rPr>
        <w:t>（</w:t>
      </w:r>
      <w:r>
        <w:rPr>
          <w:color w:val="auto"/>
          <w:sz w:val="24"/>
          <w:szCs w:val="24"/>
        </w:rPr>
        <w:t>3</w:t>
      </w:r>
      <w:r>
        <w:rPr>
          <w:rFonts w:hint="eastAsia" w:cs="宋体"/>
          <w:color w:val="auto"/>
          <w:sz w:val="24"/>
          <w:szCs w:val="24"/>
        </w:rPr>
        <w:t>）联合体协议书；</w:t>
      </w:r>
    </w:p>
    <w:p>
      <w:pPr>
        <w:autoSpaceDE w:val="0"/>
        <w:autoSpaceDN w:val="0"/>
        <w:snapToGrid w:val="0"/>
        <w:spacing w:line="360" w:lineRule="auto"/>
        <w:ind w:firstLine="480"/>
        <w:jc w:val="left"/>
        <w:rPr>
          <w:rFonts w:hAnsi="Times New Roman"/>
          <w:color w:val="auto"/>
          <w:sz w:val="24"/>
          <w:szCs w:val="24"/>
        </w:rPr>
      </w:pPr>
      <w:r>
        <w:rPr>
          <w:rFonts w:hint="eastAsia" w:hAnsi="Times New Roman" w:cs="宋体"/>
          <w:color w:val="auto"/>
          <w:sz w:val="24"/>
          <w:szCs w:val="24"/>
        </w:rPr>
        <w:t>（</w:t>
      </w:r>
      <w:r>
        <w:rPr>
          <w:rFonts w:hAnsi="Times New Roman"/>
          <w:color w:val="auto"/>
          <w:sz w:val="24"/>
          <w:szCs w:val="24"/>
        </w:rPr>
        <w:t>4</w:t>
      </w:r>
      <w:r>
        <w:rPr>
          <w:rFonts w:hint="eastAsia" w:hAnsi="Times New Roman" w:cs="宋体"/>
          <w:color w:val="auto"/>
          <w:sz w:val="24"/>
          <w:szCs w:val="24"/>
        </w:rPr>
        <w:t>）投标保证金；</w:t>
      </w:r>
    </w:p>
    <w:p>
      <w:pPr>
        <w:autoSpaceDE w:val="0"/>
        <w:autoSpaceDN w:val="0"/>
        <w:snapToGrid w:val="0"/>
        <w:spacing w:line="360" w:lineRule="auto"/>
        <w:ind w:firstLine="480"/>
        <w:jc w:val="left"/>
        <w:rPr>
          <w:rFonts w:hAnsi="Times New Roman"/>
          <w:color w:val="auto"/>
          <w:sz w:val="24"/>
          <w:szCs w:val="24"/>
        </w:rPr>
      </w:pPr>
      <w:r>
        <w:rPr>
          <w:rFonts w:hint="eastAsia" w:hAnsi="Times New Roman" w:cs="宋体"/>
          <w:color w:val="auto"/>
          <w:sz w:val="24"/>
          <w:szCs w:val="24"/>
        </w:rPr>
        <w:t>（</w:t>
      </w:r>
      <w:r>
        <w:rPr>
          <w:rFonts w:hAnsi="Times New Roman"/>
          <w:color w:val="auto"/>
          <w:sz w:val="24"/>
          <w:szCs w:val="24"/>
        </w:rPr>
        <w:t>5</w:t>
      </w:r>
      <w:r>
        <w:rPr>
          <w:rFonts w:hint="eastAsia" w:hAnsi="Times New Roman" w:cs="宋体"/>
          <w:color w:val="auto"/>
          <w:sz w:val="24"/>
          <w:szCs w:val="24"/>
        </w:rPr>
        <w:t>）拟分包项目情况表；</w:t>
      </w:r>
    </w:p>
    <w:p>
      <w:pPr>
        <w:autoSpaceDE w:val="0"/>
        <w:autoSpaceDN w:val="0"/>
        <w:snapToGrid w:val="0"/>
        <w:spacing w:line="360" w:lineRule="auto"/>
        <w:ind w:firstLine="480"/>
        <w:jc w:val="left"/>
        <w:rPr>
          <w:rFonts w:hAnsi="Times New Roman"/>
          <w:color w:val="auto"/>
          <w:sz w:val="24"/>
          <w:szCs w:val="24"/>
        </w:rPr>
      </w:pPr>
      <w:r>
        <w:rPr>
          <w:rFonts w:hint="eastAsia" w:hAnsi="Times New Roman" w:cs="宋体"/>
          <w:color w:val="auto"/>
          <w:sz w:val="24"/>
          <w:szCs w:val="24"/>
        </w:rPr>
        <w:t>（</w:t>
      </w:r>
      <w:r>
        <w:rPr>
          <w:rFonts w:hAnsi="Times New Roman"/>
          <w:color w:val="auto"/>
          <w:sz w:val="24"/>
          <w:szCs w:val="24"/>
        </w:rPr>
        <w:t>6</w:t>
      </w:r>
      <w:r>
        <w:rPr>
          <w:rFonts w:hint="eastAsia" w:hAnsi="Times New Roman" w:cs="宋体"/>
          <w:color w:val="auto"/>
          <w:sz w:val="24"/>
          <w:szCs w:val="24"/>
        </w:rPr>
        <w:t>）资格审查资料；</w:t>
      </w:r>
    </w:p>
    <w:p>
      <w:pPr>
        <w:autoSpaceDE w:val="0"/>
        <w:autoSpaceDN w:val="0"/>
        <w:snapToGrid w:val="0"/>
        <w:spacing w:line="360" w:lineRule="auto"/>
        <w:ind w:firstLine="480"/>
        <w:jc w:val="left"/>
        <w:rPr>
          <w:rFonts w:hAnsi="Times New Roman" w:cs="Times New Roman"/>
          <w:color w:val="auto"/>
          <w:sz w:val="24"/>
          <w:szCs w:val="24"/>
        </w:rPr>
      </w:pPr>
      <w:r>
        <w:rPr>
          <w:rFonts w:hint="eastAsia" w:hAnsi="Times New Roman" w:cs="宋体"/>
          <w:color w:val="auto"/>
          <w:sz w:val="24"/>
          <w:szCs w:val="24"/>
        </w:rPr>
        <w:t>（</w:t>
      </w:r>
      <w:r>
        <w:rPr>
          <w:rFonts w:hAnsi="Times New Roman"/>
          <w:color w:val="auto"/>
          <w:sz w:val="24"/>
          <w:szCs w:val="24"/>
        </w:rPr>
        <w:t>7</w:t>
      </w:r>
      <w:r>
        <w:rPr>
          <w:rFonts w:hint="eastAsia" w:hAnsi="Times New Roman" w:cs="宋体"/>
          <w:color w:val="auto"/>
          <w:sz w:val="24"/>
          <w:szCs w:val="24"/>
        </w:rPr>
        <w:t>）技术建议书；</w:t>
      </w:r>
    </w:p>
    <w:p>
      <w:pPr>
        <w:autoSpaceDE w:val="0"/>
        <w:autoSpaceDN w:val="0"/>
        <w:snapToGrid w:val="0"/>
        <w:spacing w:line="360" w:lineRule="auto"/>
        <w:ind w:firstLine="480"/>
        <w:jc w:val="left"/>
        <w:rPr>
          <w:rFonts w:hAnsi="Times New Roman" w:cs="Times New Roman"/>
          <w:color w:val="auto"/>
          <w:sz w:val="24"/>
          <w:szCs w:val="24"/>
        </w:rPr>
      </w:pPr>
      <w:r>
        <w:rPr>
          <w:rFonts w:hint="eastAsia" w:hAnsi="Times New Roman" w:cs="宋体"/>
          <w:color w:val="auto"/>
          <w:sz w:val="24"/>
          <w:szCs w:val="24"/>
        </w:rPr>
        <w:t>（</w:t>
      </w:r>
      <w:r>
        <w:rPr>
          <w:rFonts w:hAnsi="Times New Roman"/>
          <w:color w:val="auto"/>
          <w:sz w:val="24"/>
          <w:szCs w:val="24"/>
        </w:rPr>
        <w:t>8</w:t>
      </w:r>
      <w:r>
        <w:rPr>
          <w:rFonts w:hint="eastAsia" w:hAnsi="Times New Roman" w:cs="宋体"/>
          <w:color w:val="auto"/>
          <w:sz w:val="24"/>
          <w:szCs w:val="24"/>
        </w:rPr>
        <w:t>）投标人须知前附表规定的其他材料。</w:t>
      </w:r>
    </w:p>
    <w:p>
      <w:pPr>
        <w:autoSpaceDE w:val="0"/>
        <w:autoSpaceDN w:val="0"/>
        <w:snapToGrid w:val="0"/>
        <w:spacing w:line="360" w:lineRule="auto"/>
        <w:ind w:firstLine="480"/>
        <w:jc w:val="left"/>
        <w:rPr>
          <w:rFonts w:hAnsi="Times New Roman" w:cs="Times New Roman"/>
          <w:color w:val="auto"/>
          <w:sz w:val="24"/>
          <w:szCs w:val="24"/>
        </w:rPr>
      </w:pPr>
      <w:r>
        <w:rPr>
          <w:rFonts w:hint="eastAsia" w:hAnsi="Times New Roman" w:cs="宋体"/>
          <w:color w:val="auto"/>
          <w:sz w:val="24"/>
          <w:szCs w:val="24"/>
        </w:rPr>
        <w:t>第二个信封（报价文件）：</w:t>
      </w:r>
    </w:p>
    <w:p>
      <w:pPr>
        <w:numPr>
          <w:ilvl w:val="0"/>
          <w:numId w:val="1"/>
        </w:numPr>
        <w:autoSpaceDE w:val="0"/>
        <w:autoSpaceDN w:val="0"/>
        <w:snapToGrid w:val="0"/>
        <w:spacing w:line="360" w:lineRule="auto"/>
        <w:ind w:left="1200"/>
        <w:jc w:val="left"/>
        <w:rPr>
          <w:rFonts w:hAnsi="Times New Roman" w:cs="Times New Roman"/>
          <w:color w:val="auto"/>
          <w:sz w:val="24"/>
          <w:szCs w:val="24"/>
        </w:rPr>
      </w:pPr>
      <w:r>
        <w:rPr>
          <w:rFonts w:hint="eastAsia" w:hAnsi="Times New Roman" w:cs="宋体"/>
          <w:color w:val="auto"/>
          <w:sz w:val="24"/>
          <w:szCs w:val="24"/>
        </w:rPr>
        <w:t>投标函；</w:t>
      </w:r>
    </w:p>
    <w:p>
      <w:pPr>
        <w:numPr>
          <w:ilvl w:val="0"/>
          <w:numId w:val="1"/>
        </w:numPr>
        <w:autoSpaceDE w:val="0"/>
        <w:autoSpaceDN w:val="0"/>
        <w:snapToGrid w:val="0"/>
        <w:spacing w:line="360" w:lineRule="auto"/>
        <w:ind w:left="1200"/>
        <w:jc w:val="left"/>
        <w:rPr>
          <w:rFonts w:hAnsi="Times New Roman" w:cs="Times New Roman"/>
          <w:color w:val="auto"/>
          <w:sz w:val="24"/>
          <w:szCs w:val="24"/>
        </w:rPr>
      </w:pPr>
      <w:r>
        <w:rPr>
          <w:rFonts w:hint="eastAsia" w:hAnsi="Times New Roman" w:cs="宋体"/>
          <w:color w:val="auto"/>
          <w:sz w:val="24"/>
          <w:szCs w:val="24"/>
        </w:rPr>
        <w:t>勘察费用清单。</w:t>
      </w:r>
    </w:p>
    <w:p>
      <w:pPr>
        <w:autoSpaceDE w:val="0"/>
        <w:autoSpaceDN w:val="0"/>
        <w:snapToGrid w:val="0"/>
        <w:spacing w:line="360" w:lineRule="auto"/>
        <w:ind w:firstLine="480"/>
        <w:jc w:val="left"/>
        <w:rPr>
          <w:rFonts w:hAnsi="Times New Roman" w:cs="Times New Roman"/>
          <w:color w:val="auto"/>
          <w:sz w:val="24"/>
          <w:szCs w:val="24"/>
        </w:rPr>
      </w:pPr>
      <w:r>
        <w:rPr>
          <w:rFonts w:hint="eastAsia" w:hAnsi="Times New Roman" w:cs="宋体"/>
          <w:color w:val="auto"/>
          <w:sz w:val="24"/>
          <w:szCs w:val="24"/>
        </w:rPr>
        <w:t>投标人在评标过程中作出的符合法律法规和招标文件规定的澄清确认，构成投标文件的组成部分。</w:t>
      </w:r>
    </w:p>
    <w:p>
      <w:pPr>
        <w:autoSpaceDE w:val="0"/>
        <w:autoSpaceDN w:val="0"/>
        <w:snapToGrid w:val="0"/>
        <w:spacing w:line="360" w:lineRule="auto"/>
        <w:ind w:firstLine="480"/>
        <w:jc w:val="left"/>
        <w:rPr>
          <w:rFonts w:hAnsi="Times New Roman" w:cs="Times New Roman"/>
          <w:color w:val="auto"/>
          <w:sz w:val="24"/>
          <w:szCs w:val="24"/>
        </w:rPr>
      </w:pPr>
      <w:r>
        <w:rPr>
          <w:rFonts w:hAnsi="Times New Roman"/>
          <w:color w:val="auto"/>
          <w:sz w:val="24"/>
          <w:szCs w:val="24"/>
        </w:rPr>
        <w:t xml:space="preserve">3.1.2 </w:t>
      </w:r>
      <w:r>
        <w:rPr>
          <w:rFonts w:hint="eastAsia" w:hAnsi="Times New Roman" w:cs="宋体"/>
          <w:color w:val="auto"/>
          <w:sz w:val="24"/>
          <w:szCs w:val="24"/>
        </w:rPr>
        <w:t>投标人须知前附表规定不接受联合体投标的，或投标人没有组成联合体的，投标文件不包括本章第</w:t>
      </w:r>
      <w:r>
        <w:rPr>
          <w:rFonts w:hAnsi="Times New Roman"/>
          <w:color w:val="auto"/>
          <w:sz w:val="24"/>
          <w:szCs w:val="24"/>
        </w:rPr>
        <w:t>3.1.1</w:t>
      </w:r>
      <w:r>
        <w:rPr>
          <w:rFonts w:hint="eastAsia" w:hAnsi="Times New Roman" w:cs="宋体"/>
          <w:color w:val="auto"/>
          <w:sz w:val="24"/>
          <w:szCs w:val="24"/>
        </w:rPr>
        <w:t>（</w:t>
      </w:r>
      <w:r>
        <w:rPr>
          <w:rFonts w:hAnsi="Times New Roman"/>
          <w:color w:val="auto"/>
          <w:sz w:val="24"/>
          <w:szCs w:val="24"/>
        </w:rPr>
        <w:t>3</w:t>
      </w:r>
      <w:r>
        <w:rPr>
          <w:rFonts w:hint="eastAsia" w:hAnsi="Times New Roman" w:cs="宋体"/>
          <w:color w:val="auto"/>
          <w:sz w:val="24"/>
          <w:szCs w:val="24"/>
        </w:rPr>
        <w:t>）目所指的联合体协议书。</w:t>
      </w:r>
    </w:p>
    <w:p>
      <w:pPr>
        <w:autoSpaceDE w:val="0"/>
        <w:autoSpaceDN w:val="0"/>
        <w:snapToGrid w:val="0"/>
        <w:spacing w:line="360" w:lineRule="auto"/>
        <w:ind w:firstLine="480"/>
        <w:jc w:val="left"/>
        <w:rPr>
          <w:rFonts w:hAnsi="Times New Roman"/>
          <w:color w:val="auto"/>
          <w:sz w:val="24"/>
          <w:szCs w:val="24"/>
        </w:rPr>
      </w:pPr>
      <w:r>
        <w:rPr>
          <w:rFonts w:hAnsi="Times New Roman"/>
          <w:color w:val="auto"/>
          <w:sz w:val="24"/>
          <w:szCs w:val="24"/>
        </w:rPr>
        <w:t xml:space="preserve">3.1.3 </w:t>
      </w:r>
      <w:r>
        <w:rPr>
          <w:rFonts w:hint="eastAsia" w:hAnsi="Times New Roman" w:cs="宋体"/>
          <w:color w:val="auto"/>
          <w:sz w:val="24"/>
          <w:szCs w:val="24"/>
        </w:rPr>
        <w:t>投标人须知前附表未要求提交投标保证金的，投标文件不包括本章第</w:t>
      </w:r>
      <w:r>
        <w:rPr>
          <w:rFonts w:hAnsi="Times New Roman"/>
          <w:color w:val="auto"/>
          <w:sz w:val="24"/>
          <w:szCs w:val="24"/>
        </w:rPr>
        <w:t>3.1.1</w:t>
      </w:r>
      <w:r>
        <w:rPr>
          <w:rFonts w:hint="eastAsia" w:hAnsi="Times New Roman" w:cs="宋体"/>
          <w:color w:val="auto"/>
          <w:sz w:val="24"/>
          <w:szCs w:val="24"/>
        </w:rPr>
        <w:t>（</w:t>
      </w:r>
      <w:r>
        <w:rPr>
          <w:rFonts w:hAnsi="Times New Roman"/>
          <w:color w:val="auto"/>
          <w:sz w:val="24"/>
          <w:szCs w:val="24"/>
        </w:rPr>
        <w:t>4</w:t>
      </w:r>
      <w:r>
        <w:rPr>
          <w:rFonts w:hint="eastAsia" w:hAnsi="Times New Roman" w:cs="宋体"/>
          <w:color w:val="auto"/>
          <w:sz w:val="24"/>
          <w:szCs w:val="24"/>
        </w:rPr>
        <w:t>）目所指的投标保证金。</w:t>
      </w:r>
    </w:p>
    <w:p>
      <w:pPr>
        <w:autoSpaceDE w:val="0"/>
        <w:autoSpaceDN w:val="0"/>
        <w:snapToGrid w:val="0"/>
        <w:spacing w:line="360" w:lineRule="auto"/>
        <w:jc w:val="left"/>
        <w:rPr>
          <w:rFonts w:ascii="黑体" w:hAnsi="Times New Roman" w:eastAsia="黑体" w:cs="黑体"/>
          <w:color w:val="auto"/>
          <w:sz w:val="24"/>
          <w:szCs w:val="24"/>
        </w:rPr>
      </w:pPr>
      <w:r>
        <w:rPr>
          <w:rFonts w:hAnsi="Times New Roman"/>
          <w:color w:val="auto"/>
          <w:sz w:val="24"/>
          <w:szCs w:val="24"/>
        </w:rPr>
        <w:t xml:space="preserve">3.2 </w:t>
      </w:r>
      <w:r>
        <w:rPr>
          <w:rFonts w:hint="eastAsia" w:ascii="黑体" w:hAnsi="Times New Roman" w:eastAsia="黑体" w:cs="黑体"/>
          <w:color w:val="auto"/>
          <w:sz w:val="24"/>
          <w:szCs w:val="24"/>
        </w:rPr>
        <w:t>投标报价</w:t>
      </w:r>
    </w:p>
    <w:p>
      <w:pPr>
        <w:autoSpaceDE w:val="0"/>
        <w:autoSpaceDN w:val="0"/>
        <w:snapToGrid w:val="0"/>
        <w:spacing w:line="360" w:lineRule="auto"/>
        <w:ind w:firstLine="480"/>
        <w:jc w:val="left"/>
        <w:rPr>
          <w:rFonts w:ascii="宋体" w:hAnsi="Times New Roman" w:cs="宋体"/>
          <w:color w:val="auto"/>
          <w:kern w:val="0"/>
          <w:sz w:val="24"/>
          <w:szCs w:val="24"/>
        </w:rPr>
      </w:pPr>
      <w:r>
        <w:rPr>
          <w:rFonts w:ascii="Times New Roman" w:hAnsi="Times New Roman" w:eastAsia="黑体" w:cs="Times New Roman"/>
          <w:color w:val="auto"/>
          <w:kern w:val="0"/>
          <w:sz w:val="24"/>
          <w:szCs w:val="24"/>
        </w:rPr>
        <w:t xml:space="preserve">3.2.1 </w:t>
      </w:r>
      <w:r>
        <w:rPr>
          <w:rFonts w:hint="eastAsia" w:ascii="宋体" w:hAnsi="宋体" w:cs="宋体"/>
          <w:color w:val="auto"/>
          <w:kern w:val="0"/>
          <w:sz w:val="24"/>
          <w:szCs w:val="24"/>
        </w:rPr>
        <w:t>投标报价应包括国家规定的增值税税金，除投标人须知前附表另有规定外，增值税税金按一般计税方法计算。投标人应按第六章“投标文件格式”的要求在投标函中进行报价并填写</w:t>
      </w:r>
      <w:r>
        <w:rPr>
          <w:rFonts w:hint="eastAsia" w:ascii="宋体" w:hAnsi="Times New Roman" w:cs="宋体"/>
          <w:color w:val="auto"/>
          <w:kern w:val="0"/>
          <w:sz w:val="24"/>
          <w:szCs w:val="24"/>
        </w:rPr>
        <w:t>勘察费用清单相应表格。</w:t>
      </w:r>
    </w:p>
    <w:p>
      <w:pPr>
        <w:autoSpaceDE w:val="0"/>
        <w:autoSpaceDN w:val="0"/>
        <w:snapToGrid w:val="0"/>
        <w:spacing w:line="360" w:lineRule="auto"/>
        <w:ind w:firstLine="480"/>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 xml:space="preserve">3.2.2 </w:t>
      </w:r>
      <w:r>
        <w:rPr>
          <w:rFonts w:hint="eastAsia" w:ascii="Times New Roman" w:hAnsi="Times New Roman" w:cs="宋体"/>
          <w:color w:val="auto"/>
          <w:kern w:val="0"/>
          <w:sz w:val="24"/>
          <w:szCs w:val="24"/>
        </w:rPr>
        <w:t>投标人应充分了解本项目的总体情况以及影响投标报价的其他要素，按照招标文件规定的勘察工作内容和计划工作量，自行测算勘察费用。</w:t>
      </w:r>
    </w:p>
    <w:p>
      <w:pPr>
        <w:autoSpaceDE w:val="0"/>
        <w:autoSpaceDN w:val="0"/>
        <w:snapToGrid w:val="0"/>
        <w:spacing w:line="360" w:lineRule="auto"/>
        <w:ind w:firstLine="480"/>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 xml:space="preserve">3.2.3 </w:t>
      </w:r>
      <w:r>
        <w:rPr>
          <w:rFonts w:hint="eastAsia" w:ascii="Times New Roman" w:hAnsi="Times New Roman" w:cs="宋体"/>
          <w:color w:val="auto"/>
          <w:kern w:val="0"/>
          <w:sz w:val="24"/>
          <w:szCs w:val="24"/>
        </w:rPr>
        <w:t>本项目的报价方式见投标人须知前附表。投标人在投标截止时间前修改投标函中的投标报价总额，应同时修改投标文件“勘察费用清单”中的相应报价。此修改须符合本章第</w:t>
      </w:r>
      <w:r>
        <w:rPr>
          <w:rFonts w:ascii="Times New Roman" w:hAnsi="Times New Roman" w:cs="Times New Roman"/>
          <w:color w:val="auto"/>
          <w:kern w:val="0"/>
          <w:sz w:val="24"/>
          <w:szCs w:val="24"/>
        </w:rPr>
        <w:t>4.3</w:t>
      </w:r>
      <w:r>
        <w:rPr>
          <w:rFonts w:hint="eastAsia" w:ascii="Times New Roman" w:hAnsi="Times New Roman" w:cs="宋体"/>
          <w:color w:val="auto"/>
          <w:kern w:val="0"/>
          <w:sz w:val="24"/>
          <w:szCs w:val="24"/>
        </w:rPr>
        <w:t>款的有关要求。</w:t>
      </w:r>
    </w:p>
    <w:p>
      <w:pPr>
        <w:autoSpaceDE w:val="0"/>
        <w:autoSpaceDN w:val="0"/>
        <w:snapToGrid w:val="0"/>
        <w:spacing w:line="360" w:lineRule="auto"/>
        <w:ind w:firstLine="480"/>
        <w:jc w:val="left"/>
        <w:rPr>
          <w:rFonts w:hAnsi="Times New Roman" w:cs="Times New Roman"/>
          <w:color w:val="auto"/>
          <w:sz w:val="24"/>
          <w:szCs w:val="24"/>
        </w:rPr>
      </w:pPr>
      <w:r>
        <w:rPr>
          <w:rFonts w:hAnsi="Times New Roman"/>
          <w:color w:val="auto"/>
          <w:sz w:val="24"/>
          <w:szCs w:val="24"/>
        </w:rPr>
        <w:t xml:space="preserve">3.2.4 </w:t>
      </w:r>
      <w:r>
        <w:rPr>
          <w:rFonts w:hint="eastAsia" w:hAnsi="Times New Roman" w:cs="宋体"/>
          <w:color w:val="auto"/>
          <w:sz w:val="24"/>
          <w:szCs w:val="24"/>
        </w:rPr>
        <w:t>招标人设有最高投标限价的，投标人的投标报价不得超过最高投标限价，最高投标限价在投标人须知前附表中载明。</w:t>
      </w:r>
    </w:p>
    <w:p>
      <w:pPr>
        <w:autoSpaceDE w:val="0"/>
        <w:autoSpaceDN w:val="0"/>
        <w:snapToGrid w:val="0"/>
        <w:spacing w:line="360" w:lineRule="auto"/>
        <w:ind w:firstLine="480"/>
        <w:jc w:val="left"/>
        <w:rPr>
          <w:rFonts w:hAnsi="Times New Roman" w:cs="Times New Roman"/>
          <w:color w:val="auto"/>
          <w:sz w:val="24"/>
          <w:szCs w:val="24"/>
        </w:rPr>
      </w:pPr>
      <w:r>
        <w:rPr>
          <w:rFonts w:hAnsi="Times New Roman"/>
          <w:color w:val="auto"/>
          <w:sz w:val="24"/>
          <w:szCs w:val="24"/>
        </w:rPr>
        <w:t xml:space="preserve">3.2.5 </w:t>
      </w:r>
      <w:r>
        <w:rPr>
          <w:rFonts w:hint="eastAsia" w:hAnsi="Times New Roman" w:cs="宋体"/>
          <w:color w:val="auto"/>
          <w:sz w:val="24"/>
          <w:szCs w:val="24"/>
        </w:rPr>
        <w:t>投标报价的其他要求见投标人须知前附表。</w:t>
      </w:r>
    </w:p>
    <w:p>
      <w:pPr>
        <w:autoSpaceDE w:val="0"/>
        <w:autoSpaceDN w:val="0"/>
        <w:snapToGrid w:val="0"/>
        <w:spacing w:line="360" w:lineRule="auto"/>
        <w:jc w:val="left"/>
        <w:rPr>
          <w:rFonts w:ascii="黑体" w:hAnsi="Times New Roman" w:eastAsia="黑体" w:cs="Times New Roman"/>
          <w:color w:val="auto"/>
          <w:sz w:val="24"/>
          <w:szCs w:val="24"/>
        </w:rPr>
      </w:pPr>
      <w:r>
        <w:rPr>
          <w:rFonts w:hAnsi="Times New Roman"/>
          <w:color w:val="auto"/>
          <w:sz w:val="24"/>
          <w:szCs w:val="24"/>
        </w:rPr>
        <w:t xml:space="preserve">3.3 </w:t>
      </w:r>
      <w:r>
        <w:rPr>
          <w:rFonts w:hint="eastAsia" w:ascii="黑体" w:hAnsi="Times New Roman" w:eastAsia="黑体" w:cs="黑体"/>
          <w:color w:val="auto"/>
          <w:sz w:val="24"/>
          <w:szCs w:val="24"/>
        </w:rPr>
        <w:t>投标有效期</w:t>
      </w:r>
    </w:p>
    <w:p>
      <w:pPr>
        <w:autoSpaceDE w:val="0"/>
        <w:autoSpaceDN w:val="0"/>
        <w:snapToGrid w:val="0"/>
        <w:spacing w:line="360" w:lineRule="auto"/>
        <w:ind w:firstLine="480"/>
        <w:jc w:val="left"/>
        <w:rPr>
          <w:rFonts w:hAnsi="Times New Roman" w:cs="Times New Roman"/>
          <w:color w:val="auto"/>
          <w:sz w:val="24"/>
          <w:szCs w:val="24"/>
        </w:rPr>
      </w:pPr>
      <w:r>
        <w:rPr>
          <w:rFonts w:hAnsi="Times New Roman" w:eastAsia="黑体"/>
          <w:color w:val="auto"/>
          <w:sz w:val="24"/>
          <w:szCs w:val="24"/>
        </w:rPr>
        <w:t xml:space="preserve">3.3.1 </w:t>
      </w:r>
      <w:r>
        <w:rPr>
          <w:rFonts w:hint="eastAsia" w:cs="宋体"/>
          <w:color w:val="auto"/>
          <w:sz w:val="24"/>
          <w:szCs w:val="24"/>
        </w:rPr>
        <w:t>除</w:t>
      </w:r>
      <w:r>
        <w:rPr>
          <w:rFonts w:hint="eastAsia" w:hAnsi="Times New Roman" w:cs="宋体"/>
          <w:color w:val="auto"/>
          <w:sz w:val="24"/>
          <w:szCs w:val="24"/>
        </w:rPr>
        <w:t>投标人须知前附表另有规定外，投标有效期为</w:t>
      </w:r>
      <w:r>
        <w:rPr>
          <w:rFonts w:hAnsi="Times New Roman"/>
          <w:color w:val="auto"/>
          <w:sz w:val="24"/>
          <w:szCs w:val="24"/>
        </w:rPr>
        <w:t>90</w:t>
      </w:r>
      <w:r>
        <w:rPr>
          <w:rFonts w:hint="eastAsia" w:hAnsi="Times New Roman" w:cs="宋体"/>
          <w:color w:val="auto"/>
          <w:sz w:val="24"/>
          <w:szCs w:val="24"/>
        </w:rPr>
        <w:t>日。</w:t>
      </w:r>
    </w:p>
    <w:p>
      <w:pPr>
        <w:autoSpaceDE w:val="0"/>
        <w:autoSpaceDN w:val="0"/>
        <w:snapToGrid w:val="0"/>
        <w:spacing w:line="360" w:lineRule="auto"/>
        <w:ind w:firstLine="480"/>
        <w:jc w:val="left"/>
        <w:rPr>
          <w:rFonts w:hAnsi="Times New Roman"/>
          <w:color w:val="auto"/>
          <w:sz w:val="24"/>
          <w:szCs w:val="24"/>
        </w:rPr>
      </w:pPr>
      <w:r>
        <w:rPr>
          <w:rFonts w:hAnsi="Times New Roman"/>
          <w:color w:val="auto"/>
          <w:sz w:val="24"/>
          <w:szCs w:val="24"/>
        </w:rPr>
        <w:t xml:space="preserve">3.3.2 </w:t>
      </w:r>
      <w:r>
        <w:rPr>
          <w:rFonts w:hint="eastAsia" w:hAnsi="Times New Roman" w:cs="宋体"/>
          <w:color w:val="auto"/>
          <w:sz w:val="24"/>
          <w:szCs w:val="24"/>
        </w:rPr>
        <w:t>在投标有效期内，投标人撤销投标文件的，应承担招标文件和法律规定的责任。</w:t>
      </w:r>
    </w:p>
    <w:p>
      <w:pPr>
        <w:autoSpaceDE w:val="0"/>
        <w:autoSpaceDN w:val="0"/>
        <w:snapToGrid w:val="0"/>
        <w:spacing w:line="360" w:lineRule="auto"/>
        <w:ind w:firstLine="480"/>
        <w:jc w:val="left"/>
        <w:rPr>
          <w:rFonts w:hAnsi="Times New Roman" w:cs="Times New Roman"/>
          <w:color w:val="auto"/>
          <w:sz w:val="24"/>
          <w:szCs w:val="24"/>
        </w:rPr>
      </w:pPr>
      <w:r>
        <w:rPr>
          <w:rFonts w:hAnsi="Times New Roman"/>
          <w:color w:val="auto"/>
          <w:sz w:val="24"/>
          <w:szCs w:val="24"/>
        </w:rPr>
        <w:t xml:space="preserve">3.3.3 </w:t>
      </w:r>
      <w:r>
        <w:rPr>
          <w:rFonts w:hint="eastAsia" w:hAnsi="Times New Roman" w:cs="宋体"/>
          <w:color w:val="auto"/>
          <w:sz w:val="24"/>
          <w:szCs w:val="24"/>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现金或支票形式递交的投标保证金的银行同期活期存款利息。</w:t>
      </w:r>
    </w:p>
    <w:p>
      <w:pPr>
        <w:autoSpaceDE w:val="0"/>
        <w:autoSpaceDN w:val="0"/>
        <w:snapToGrid w:val="0"/>
        <w:spacing w:line="360" w:lineRule="auto"/>
        <w:jc w:val="left"/>
        <w:rPr>
          <w:rFonts w:ascii="黑体" w:hAnsi="Times New Roman" w:eastAsia="黑体" w:cs="黑体"/>
          <w:color w:val="auto"/>
          <w:sz w:val="24"/>
          <w:szCs w:val="24"/>
        </w:rPr>
      </w:pPr>
      <w:r>
        <w:rPr>
          <w:rFonts w:hAnsi="Times New Roman"/>
          <w:color w:val="auto"/>
          <w:sz w:val="24"/>
          <w:szCs w:val="24"/>
        </w:rPr>
        <w:t xml:space="preserve">3.4 </w:t>
      </w:r>
      <w:r>
        <w:rPr>
          <w:rFonts w:hint="eastAsia" w:ascii="黑体" w:hAnsi="Times New Roman" w:eastAsia="黑体" w:cs="黑体"/>
          <w:color w:val="auto"/>
          <w:sz w:val="24"/>
          <w:szCs w:val="24"/>
        </w:rPr>
        <w:t>投标保证金</w:t>
      </w:r>
    </w:p>
    <w:p>
      <w:pPr>
        <w:autoSpaceDE w:val="0"/>
        <w:autoSpaceDN w:val="0"/>
        <w:snapToGrid w:val="0"/>
        <w:spacing w:line="360" w:lineRule="auto"/>
        <w:ind w:firstLine="480"/>
        <w:jc w:val="left"/>
        <w:rPr>
          <w:rFonts w:hAnsi="Times New Roman"/>
          <w:color w:val="auto"/>
          <w:sz w:val="24"/>
          <w:szCs w:val="24"/>
        </w:rPr>
      </w:pPr>
      <w:r>
        <w:rPr>
          <w:rFonts w:hAnsi="Times New Roman" w:eastAsia="黑体"/>
          <w:color w:val="auto"/>
          <w:sz w:val="24"/>
          <w:szCs w:val="24"/>
        </w:rPr>
        <w:t xml:space="preserve">3.4.1 </w:t>
      </w:r>
      <w:r>
        <w:rPr>
          <w:rFonts w:hint="eastAsia" w:hAnsi="Times New Roman" w:cs="宋体"/>
          <w:color w:val="auto"/>
          <w:sz w:val="24"/>
          <w:szCs w:val="24"/>
        </w:rPr>
        <w:t>投标人在递交投标文件的同时，应按投标人须知前附表规定的金额和第六章“投标文件格式”规定的投标保证金格式递交投标保证金，并作为其投标文件的组成部分。联合体投标的，其投标保证金由牵头人递交，并应符合投标人须知前附表的规定。</w:t>
      </w:r>
    </w:p>
    <w:p>
      <w:pPr>
        <w:autoSpaceDE w:val="0"/>
        <w:autoSpaceDN w:val="0"/>
        <w:snapToGrid w:val="0"/>
        <w:spacing w:line="360" w:lineRule="auto"/>
        <w:ind w:firstLine="480"/>
        <w:jc w:val="left"/>
        <w:rPr>
          <w:rFonts w:hAnsi="Times New Roman" w:cs="Times New Roman"/>
          <w:color w:val="auto"/>
          <w:sz w:val="24"/>
          <w:szCs w:val="24"/>
        </w:rPr>
      </w:pPr>
      <w:r>
        <w:rPr>
          <w:rFonts w:hint="eastAsia" w:hAnsi="Times New Roman" w:cs="宋体"/>
          <w:color w:val="auto"/>
          <w:sz w:val="24"/>
          <w:szCs w:val="24"/>
        </w:rPr>
        <w:t>投标保证金应采用现金、支票、银行保函或招标人在投标人须知前附表规定的其他形式。</w:t>
      </w:r>
    </w:p>
    <w:p>
      <w:pPr>
        <w:autoSpaceDE w:val="0"/>
        <w:autoSpaceDN w:val="0"/>
        <w:snapToGrid w:val="0"/>
        <w:spacing w:line="360" w:lineRule="auto"/>
        <w:ind w:firstLine="480"/>
        <w:jc w:val="left"/>
        <w:rPr>
          <w:rFonts w:hAnsi="Times New Roman"/>
          <w:color w:val="auto"/>
          <w:sz w:val="24"/>
          <w:szCs w:val="24"/>
        </w:rPr>
      </w:pPr>
      <w:r>
        <w:rPr>
          <w:rFonts w:hint="eastAsia" w:hAnsi="Times New Roman" w:cs="宋体"/>
          <w:color w:val="auto"/>
          <w:sz w:val="24"/>
          <w:szCs w:val="24"/>
        </w:rPr>
        <w:t>（</w:t>
      </w:r>
      <w:r>
        <w:rPr>
          <w:rFonts w:hAnsi="Times New Roman"/>
          <w:color w:val="auto"/>
          <w:sz w:val="24"/>
          <w:szCs w:val="24"/>
        </w:rPr>
        <w:t>1</w:t>
      </w:r>
      <w:r>
        <w:rPr>
          <w:rFonts w:hint="eastAsia" w:hAnsi="Times New Roman" w:cs="宋体"/>
          <w:color w:val="auto"/>
          <w:sz w:val="24"/>
          <w:szCs w:val="24"/>
        </w:rPr>
        <w:t>）若采用现金或支票，投标人应在递交投标文件截止时间之前，将投标保证金由投标人的基本账户转入招标人指定账户，否则视为投标保证金无效。招标人指定的开户银行及账号见投标人须知前附表。</w:t>
      </w:r>
    </w:p>
    <w:p>
      <w:pPr>
        <w:autoSpaceDE w:val="0"/>
        <w:autoSpaceDN w:val="0"/>
        <w:snapToGrid w:val="0"/>
        <w:spacing w:line="360" w:lineRule="auto"/>
        <w:ind w:firstLine="480"/>
        <w:jc w:val="left"/>
        <w:rPr>
          <w:rFonts w:hAnsi="Times New Roman" w:cs="Times New Roman"/>
          <w:color w:val="auto"/>
          <w:sz w:val="24"/>
          <w:szCs w:val="24"/>
        </w:rPr>
      </w:pPr>
      <w:r>
        <w:rPr>
          <w:rFonts w:hint="eastAsia" w:hAnsi="Times New Roman" w:cs="宋体"/>
          <w:color w:val="auto"/>
          <w:sz w:val="24"/>
          <w:szCs w:val="24"/>
        </w:rPr>
        <w:t>（</w:t>
      </w:r>
      <w:r>
        <w:rPr>
          <w:rFonts w:hAnsi="Times New Roman"/>
          <w:color w:val="auto"/>
          <w:sz w:val="24"/>
          <w:szCs w:val="24"/>
        </w:rPr>
        <w:t>2</w:t>
      </w:r>
      <w:r>
        <w:rPr>
          <w:rFonts w:hint="eastAsia" w:hAnsi="Times New Roman" w:cs="宋体"/>
          <w:color w:val="auto"/>
          <w:sz w:val="24"/>
          <w:szCs w:val="24"/>
        </w:rPr>
        <w:t>）若采用银行保函，则应由符合投标人须知前附表规定级别的银行开具，并采用招标文件提供的格式。银行保函复印件装订在投标文件内，原件应在递交投标文件截止时间之前单独密封递交给招标人。</w:t>
      </w:r>
    </w:p>
    <w:p>
      <w:pPr>
        <w:autoSpaceDE w:val="0"/>
        <w:autoSpaceDN w:val="0"/>
        <w:snapToGrid w:val="0"/>
        <w:spacing w:line="360" w:lineRule="auto"/>
        <w:ind w:firstLine="480"/>
        <w:jc w:val="left"/>
        <w:rPr>
          <w:rFonts w:hAnsi="Times New Roman"/>
          <w:color w:val="auto"/>
          <w:sz w:val="24"/>
          <w:szCs w:val="24"/>
        </w:rPr>
      </w:pPr>
      <w:r>
        <w:rPr>
          <w:rFonts w:hint="eastAsia" w:hAnsi="Times New Roman" w:cs="宋体"/>
          <w:color w:val="auto"/>
          <w:sz w:val="24"/>
          <w:szCs w:val="24"/>
        </w:rPr>
        <w:t>无论采取何种形式的投标保证金，投标保证金有效期均应与投标有效期一致。招标人如果按本章第</w:t>
      </w:r>
      <w:r>
        <w:rPr>
          <w:rFonts w:hAnsi="Times New Roman"/>
          <w:color w:val="auto"/>
          <w:sz w:val="24"/>
          <w:szCs w:val="24"/>
        </w:rPr>
        <w:t>3.3.3</w:t>
      </w:r>
      <w:r>
        <w:rPr>
          <w:rFonts w:hint="eastAsia" w:hAnsi="Times New Roman" w:cs="宋体"/>
          <w:color w:val="auto"/>
          <w:sz w:val="24"/>
          <w:szCs w:val="24"/>
        </w:rPr>
        <w:t>项的规定延长了投标有效期，则投标保证金的有效期也相应延长。</w:t>
      </w:r>
    </w:p>
    <w:p>
      <w:pPr>
        <w:autoSpaceDE w:val="0"/>
        <w:autoSpaceDN w:val="0"/>
        <w:snapToGrid w:val="0"/>
        <w:spacing w:line="360" w:lineRule="auto"/>
        <w:ind w:firstLine="480"/>
        <w:jc w:val="left"/>
        <w:rPr>
          <w:rFonts w:hAnsi="Times New Roman"/>
          <w:color w:val="auto"/>
          <w:sz w:val="24"/>
          <w:szCs w:val="24"/>
        </w:rPr>
      </w:pPr>
      <w:r>
        <w:rPr>
          <w:rFonts w:hAnsi="Times New Roman"/>
          <w:color w:val="auto"/>
          <w:sz w:val="24"/>
          <w:szCs w:val="24"/>
        </w:rPr>
        <w:t xml:space="preserve">3.4.2 </w:t>
      </w:r>
      <w:r>
        <w:rPr>
          <w:rFonts w:hint="eastAsia" w:hAnsi="Times New Roman" w:cs="宋体"/>
          <w:color w:val="auto"/>
          <w:sz w:val="24"/>
          <w:szCs w:val="24"/>
        </w:rPr>
        <w:t>投标人不按本章第</w:t>
      </w:r>
      <w:r>
        <w:rPr>
          <w:rFonts w:hAnsi="Times New Roman"/>
          <w:color w:val="auto"/>
          <w:sz w:val="24"/>
          <w:szCs w:val="24"/>
        </w:rPr>
        <w:t>3.4.1</w:t>
      </w:r>
      <w:r>
        <w:rPr>
          <w:rFonts w:hint="eastAsia" w:hAnsi="Times New Roman" w:cs="宋体"/>
          <w:color w:val="auto"/>
          <w:sz w:val="24"/>
          <w:szCs w:val="24"/>
        </w:rPr>
        <w:t>项要求提交投标保证金的，评标委员会将否决其投标。</w:t>
      </w:r>
    </w:p>
    <w:p>
      <w:pPr>
        <w:autoSpaceDE w:val="0"/>
        <w:autoSpaceDN w:val="0"/>
        <w:snapToGrid w:val="0"/>
        <w:spacing w:line="360" w:lineRule="auto"/>
        <w:ind w:firstLine="480"/>
        <w:jc w:val="left"/>
        <w:rPr>
          <w:rFonts w:cs="Times New Roman"/>
          <w:color w:val="auto"/>
          <w:sz w:val="24"/>
          <w:szCs w:val="24"/>
        </w:rPr>
      </w:pPr>
      <w:r>
        <w:rPr>
          <w:rFonts w:hAnsi="Times New Roman"/>
          <w:color w:val="auto"/>
          <w:sz w:val="24"/>
          <w:szCs w:val="24"/>
        </w:rPr>
        <w:t xml:space="preserve">3.4.3 </w:t>
      </w:r>
      <w:r>
        <w:rPr>
          <w:rFonts w:hint="eastAsia" w:cs="宋体"/>
          <w:color w:val="auto"/>
          <w:sz w:val="24"/>
          <w:szCs w:val="24"/>
        </w:rPr>
        <w:t>招标人最迟将在中标通知书发出后</w:t>
      </w:r>
      <w:r>
        <w:rPr>
          <w:color w:val="auto"/>
          <w:sz w:val="24"/>
          <w:szCs w:val="24"/>
        </w:rPr>
        <w:t>5</w:t>
      </w:r>
      <w:r>
        <w:rPr>
          <w:rFonts w:hint="eastAsia" w:cs="宋体"/>
          <w:color w:val="auto"/>
          <w:sz w:val="24"/>
          <w:szCs w:val="24"/>
        </w:rPr>
        <w:t>日内向中标候选人以外的其他投标人退还投标保证金，与中标人签订合同后</w:t>
      </w:r>
      <w:r>
        <w:rPr>
          <w:color w:val="auto"/>
          <w:sz w:val="24"/>
          <w:szCs w:val="24"/>
        </w:rPr>
        <w:t>5</w:t>
      </w:r>
      <w:r>
        <w:rPr>
          <w:rFonts w:hint="eastAsia" w:cs="宋体"/>
          <w:color w:val="auto"/>
          <w:sz w:val="24"/>
          <w:szCs w:val="24"/>
        </w:rPr>
        <w:t>日内向中标人和其他中标候选人退还投标保证金。投标保证金以现金或支票形式递交的，招标人应当同时退还投标保证金的银行同期活期存款利息，且退还至投标人的基本账户。</w:t>
      </w:r>
    </w:p>
    <w:p>
      <w:pPr>
        <w:autoSpaceDE w:val="0"/>
        <w:autoSpaceDN w:val="0"/>
        <w:snapToGrid w:val="0"/>
        <w:spacing w:line="360" w:lineRule="auto"/>
        <w:ind w:firstLine="480"/>
        <w:jc w:val="left"/>
        <w:rPr>
          <w:rFonts w:cs="Times New Roman"/>
          <w:color w:val="auto"/>
          <w:sz w:val="24"/>
          <w:szCs w:val="24"/>
        </w:rPr>
      </w:pPr>
      <w:r>
        <w:rPr>
          <w:rFonts w:hint="eastAsia" w:cs="宋体"/>
          <w:color w:val="auto"/>
          <w:sz w:val="24"/>
          <w:szCs w:val="24"/>
        </w:rPr>
        <w:t>利息计算原则见投标人须知前附表。</w:t>
      </w:r>
    </w:p>
    <w:p>
      <w:pPr>
        <w:autoSpaceDE w:val="0"/>
        <w:autoSpaceDN w:val="0"/>
        <w:snapToGrid w:val="0"/>
        <w:spacing w:line="360" w:lineRule="auto"/>
        <w:ind w:firstLine="480"/>
        <w:jc w:val="left"/>
        <w:rPr>
          <w:rFonts w:hAnsi="Times New Roman"/>
          <w:color w:val="auto"/>
          <w:sz w:val="24"/>
          <w:szCs w:val="24"/>
        </w:rPr>
      </w:pPr>
      <w:r>
        <w:rPr>
          <w:rFonts w:hAnsi="Times New Roman"/>
          <w:color w:val="auto"/>
          <w:sz w:val="24"/>
          <w:szCs w:val="24"/>
        </w:rPr>
        <w:t xml:space="preserve">3.4.4 </w:t>
      </w:r>
      <w:r>
        <w:rPr>
          <w:rFonts w:hint="eastAsia" w:hAnsi="Times New Roman" w:cs="宋体"/>
          <w:color w:val="auto"/>
          <w:sz w:val="24"/>
          <w:szCs w:val="24"/>
        </w:rPr>
        <w:t>有下列情形之一的，投标保证金将不予退还：</w:t>
      </w:r>
    </w:p>
    <w:p>
      <w:pPr>
        <w:autoSpaceDE w:val="0"/>
        <w:autoSpaceDN w:val="0"/>
        <w:snapToGrid w:val="0"/>
        <w:spacing w:line="360" w:lineRule="auto"/>
        <w:ind w:firstLine="480"/>
        <w:jc w:val="left"/>
        <w:rPr>
          <w:rFonts w:hAnsi="Times New Roman"/>
          <w:color w:val="auto"/>
          <w:sz w:val="24"/>
          <w:szCs w:val="24"/>
        </w:rPr>
      </w:pPr>
      <w:r>
        <w:rPr>
          <w:rFonts w:hint="eastAsia" w:hAnsi="Times New Roman" w:cs="宋体"/>
          <w:color w:val="auto"/>
          <w:sz w:val="24"/>
          <w:szCs w:val="24"/>
        </w:rPr>
        <w:t>（</w:t>
      </w:r>
      <w:r>
        <w:rPr>
          <w:rFonts w:hAnsi="Times New Roman"/>
          <w:color w:val="auto"/>
          <w:sz w:val="24"/>
          <w:szCs w:val="24"/>
        </w:rPr>
        <w:t>1</w:t>
      </w:r>
      <w:r>
        <w:rPr>
          <w:rFonts w:hint="eastAsia" w:hAnsi="Times New Roman" w:cs="宋体"/>
          <w:color w:val="auto"/>
          <w:sz w:val="24"/>
          <w:szCs w:val="24"/>
        </w:rPr>
        <w:t>）投标人在投标有效期内撤销投标文件；</w:t>
      </w:r>
    </w:p>
    <w:p>
      <w:pPr>
        <w:autoSpaceDE w:val="0"/>
        <w:autoSpaceDN w:val="0"/>
        <w:snapToGrid w:val="0"/>
        <w:spacing w:line="360" w:lineRule="auto"/>
        <w:ind w:firstLine="480"/>
        <w:jc w:val="left"/>
        <w:rPr>
          <w:rFonts w:hAnsi="Times New Roman"/>
          <w:color w:val="auto"/>
          <w:sz w:val="24"/>
          <w:szCs w:val="24"/>
        </w:rPr>
      </w:pPr>
      <w:r>
        <w:rPr>
          <w:rFonts w:hint="eastAsia" w:hAnsi="Times New Roman" w:cs="宋体"/>
          <w:color w:val="auto"/>
          <w:sz w:val="24"/>
          <w:szCs w:val="24"/>
        </w:rPr>
        <w:t>（</w:t>
      </w:r>
      <w:r>
        <w:rPr>
          <w:rFonts w:hAnsi="Times New Roman"/>
          <w:color w:val="auto"/>
          <w:sz w:val="24"/>
          <w:szCs w:val="24"/>
        </w:rPr>
        <w:t>2</w:t>
      </w:r>
      <w:r>
        <w:rPr>
          <w:rFonts w:hint="eastAsia" w:hAnsi="Times New Roman" w:cs="宋体"/>
          <w:color w:val="auto"/>
          <w:sz w:val="24"/>
          <w:szCs w:val="24"/>
        </w:rPr>
        <w:t>）中标人在收到中标通知书后，无正当理由不与招标人订立合同，在签订合同时向招标人提出附加条件，或不按招标文件要求提交履约保证金；</w:t>
      </w:r>
    </w:p>
    <w:p>
      <w:pPr>
        <w:autoSpaceDE w:val="0"/>
        <w:autoSpaceDN w:val="0"/>
        <w:snapToGrid w:val="0"/>
        <w:spacing w:line="360" w:lineRule="auto"/>
        <w:ind w:firstLine="480"/>
        <w:jc w:val="left"/>
        <w:rPr>
          <w:rFonts w:hAnsi="Times New Roman"/>
          <w:color w:val="auto"/>
          <w:sz w:val="24"/>
          <w:szCs w:val="24"/>
        </w:rPr>
      </w:pPr>
      <w:r>
        <w:rPr>
          <w:rFonts w:hint="eastAsia" w:hAnsi="Times New Roman" w:cs="宋体"/>
          <w:color w:val="auto"/>
          <w:sz w:val="24"/>
          <w:szCs w:val="24"/>
        </w:rPr>
        <w:t>（</w:t>
      </w:r>
      <w:r>
        <w:rPr>
          <w:rFonts w:hAnsi="Times New Roman"/>
          <w:color w:val="auto"/>
          <w:sz w:val="24"/>
          <w:szCs w:val="24"/>
        </w:rPr>
        <w:t>3</w:t>
      </w:r>
      <w:r>
        <w:rPr>
          <w:rFonts w:hint="eastAsia" w:hAnsi="Times New Roman" w:cs="宋体"/>
          <w:color w:val="auto"/>
          <w:sz w:val="24"/>
          <w:szCs w:val="24"/>
        </w:rPr>
        <w:t>）发生投标人须知前附表规定的其他可以不予退还投标保证金的情形。</w:t>
      </w:r>
    </w:p>
    <w:p>
      <w:pPr>
        <w:autoSpaceDE w:val="0"/>
        <w:autoSpaceDN w:val="0"/>
        <w:snapToGrid w:val="0"/>
        <w:spacing w:line="360" w:lineRule="auto"/>
        <w:jc w:val="left"/>
        <w:rPr>
          <w:rFonts w:ascii="黑体" w:hAnsi="Times New Roman" w:eastAsia="黑体" w:cs="Times New Roman"/>
          <w:b/>
          <w:bCs/>
          <w:color w:val="auto"/>
          <w:sz w:val="24"/>
          <w:szCs w:val="24"/>
        </w:rPr>
      </w:pPr>
      <w:r>
        <w:rPr>
          <w:rFonts w:hAnsi="Times New Roman"/>
          <w:b/>
          <w:bCs/>
          <w:color w:val="auto"/>
          <w:sz w:val="24"/>
          <w:szCs w:val="24"/>
        </w:rPr>
        <w:t xml:space="preserve">3.5 </w:t>
      </w:r>
      <w:r>
        <w:rPr>
          <w:rFonts w:hint="eastAsia" w:ascii="黑体" w:hAnsi="Times New Roman" w:eastAsia="黑体" w:cs="黑体"/>
          <w:b/>
          <w:bCs/>
          <w:color w:val="auto"/>
          <w:sz w:val="24"/>
          <w:szCs w:val="24"/>
        </w:rPr>
        <w:t>资格审查资料</w:t>
      </w:r>
    </w:p>
    <w:p>
      <w:pPr>
        <w:autoSpaceDE w:val="0"/>
        <w:autoSpaceDN w:val="0"/>
        <w:snapToGrid w:val="0"/>
        <w:spacing w:line="360" w:lineRule="auto"/>
        <w:ind w:firstLine="480"/>
        <w:jc w:val="left"/>
        <w:rPr>
          <w:rFonts w:ascii="宋体" w:cs="Times New Roman"/>
          <w:color w:val="auto"/>
          <w:kern w:val="0"/>
          <w:sz w:val="24"/>
          <w:szCs w:val="24"/>
        </w:rPr>
      </w:pPr>
      <w:r>
        <w:rPr>
          <w:rFonts w:hint="eastAsia" w:ascii="宋体" w:hAnsi="宋体" w:cs="宋体"/>
          <w:color w:val="auto"/>
          <w:kern w:val="0"/>
          <w:sz w:val="24"/>
          <w:szCs w:val="24"/>
        </w:rPr>
        <w:t>除投标人须知前附表另有规定外，投标人应按下列规定提供资格审查资料，以证明其满足本章第</w:t>
      </w:r>
      <w:r>
        <w:rPr>
          <w:rFonts w:ascii="宋体" w:hAnsi="宋体" w:cs="宋体"/>
          <w:color w:val="auto"/>
          <w:kern w:val="0"/>
          <w:sz w:val="24"/>
          <w:szCs w:val="24"/>
        </w:rPr>
        <w:t>1.4</w:t>
      </w:r>
      <w:r>
        <w:rPr>
          <w:rFonts w:hint="eastAsia" w:ascii="宋体" w:hAnsi="宋体" w:cs="宋体"/>
          <w:color w:val="auto"/>
          <w:kern w:val="0"/>
          <w:sz w:val="24"/>
          <w:szCs w:val="24"/>
        </w:rPr>
        <w:t>款规定的资质、业绩、信誉等要求。</w:t>
      </w:r>
    </w:p>
    <w:p>
      <w:pPr>
        <w:autoSpaceDE w:val="0"/>
        <w:autoSpaceDN w:val="0"/>
        <w:snapToGrid w:val="0"/>
        <w:spacing w:line="360" w:lineRule="auto"/>
        <w:ind w:firstLine="480"/>
        <w:jc w:val="left"/>
        <w:rPr>
          <w:rFonts w:ascii="宋体" w:cs="Times New Roman"/>
          <w:color w:val="auto"/>
          <w:kern w:val="0"/>
          <w:sz w:val="24"/>
          <w:szCs w:val="24"/>
        </w:rPr>
      </w:pPr>
      <w:r>
        <w:rPr>
          <w:rFonts w:ascii="Times New Roman" w:hAnsi="Times New Roman" w:cs="Times New Roman"/>
          <w:color w:val="auto"/>
          <w:kern w:val="0"/>
          <w:sz w:val="24"/>
          <w:szCs w:val="24"/>
        </w:rPr>
        <w:t xml:space="preserve">3.5.1 </w:t>
      </w:r>
      <w:r>
        <w:rPr>
          <w:rFonts w:hint="eastAsia" w:ascii="Times New Roman" w:hAnsi="Times New Roman" w:cs="宋体"/>
          <w:color w:val="auto"/>
          <w:kern w:val="0"/>
          <w:sz w:val="24"/>
          <w:szCs w:val="24"/>
        </w:rPr>
        <w:t>“</w:t>
      </w:r>
      <w:r>
        <w:rPr>
          <w:rFonts w:hint="eastAsia" w:ascii="宋体" w:hAnsi="宋体" w:cs="宋体"/>
          <w:color w:val="auto"/>
          <w:kern w:val="0"/>
          <w:sz w:val="24"/>
          <w:szCs w:val="24"/>
        </w:rPr>
        <w:t>投标人基本情况表”应附企业法人营业执照副本和组织机构代码证副本（按照“三证合一”或“五证合一”登记制度进行登记的，可仅提供营业执照副本，下同）、勘察资质证书副本、设计资质证书副本、基本账户开户许可证的复印件，投标人在交通运输部“全国公路建设市场信用信息管理系统”公路工程设计资质企业名录中的网页截图复印件，以及投标人在国家企业信用信息公示系统中基础信息（体现股东及出资详细信息）的网页截图或由法定的社会验资机构出具的验资报告或注册地工商部门出具的股东出资情况证明复印件。</w:t>
      </w:r>
    </w:p>
    <w:p>
      <w:pPr>
        <w:autoSpaceDE w:val="0"/>
        <w:autoSpaceDN w:val="0"/>
        <w:snapToGrid w:val="0"/>
        <w:spacing w:line="360" w:lineRule="auto"/>
        <w:ind w:firstLine="480"/>
        <w:jc w:val="left"/>
        <w:rPr>
          <w:rFonts w:ascii="宋体" w:cs="Times New Roman"/>
          <w:color w:val="auto"/>
          <w:kern w:val="0"/>
          <w:sz w:val="24"/>
          <w:szCs w:val="24"/>
        </w:rPr>
      </w:pPr>
      <w:r>
        <w:rPr>
          <w:rFonts w:hint="eastAsia" w:ascii="宋体" w:hAnsi="宋体" w:cs="宋体"/>
          <w:color w:val="auto"/>
          <w:kern w:val="0"/>
          <w:sz w:val="24"/>
          <w:szCs w:val="24"/>
        </w:rPr>
        <w:t>企业法人营业执照副本和组织机构代码证副本、勘察资质证书副本、设计资质证书副本、基本账户开户许可证的复印件应提供全本（证书封面、封底、空白页除外），应包括投标人名称、投标人其他相关信息、颁发机构名称、投标人信息变更情况等关键页在内，并逐页加盖投标人单位章。</w:t>
      </w:r>
    </w:p>
    <w:p>
      <w:pPr>
        <w:autoSpaceDE w:val="0"/>
        <w:autoSpaceDN w:val="0"/>
        <w:snapToGrid w:val="0"/>
        <w:spacing w:line="360" w:lineRule="auto"/>
        <w:ind w:firstLine="480"/>
        <w:jc w:val="left"/>
        <w:rPr>
          <w:rFonts w:ascii="宋体" w:hAnsi="Times New Roman" w:cs="Times New Roman"/>
          <w:color w:val="auto"/>
          <w:kern w:val="0"/>
          <w:sz w:val="24"/>
          <w:szCs w:val="24"/>
        </w:rPr>
      </w:pPr>
      <w:r>
        <w:rPr>
          <w:rFonts w:ascii="Times New Roman" w:hAnsi="Times New Roman" w:cs="Times New Roman"/>
          <w:color w:val="auto"/>
          <w:kern w:val="0"/>
          <w:sz w:val="24"/>
          <w:szCs w:val="24"/>
        </w:rPr>
        <w:t xml:space="preserve">3.5.2 </w:t>
      </w:r>
      <w:r>
        <w:rPr>
          <w:rFonts w:hint="eastAsia" w:ascii="Times New Roman" w:hAnsi="Times New Roman" w:cs="宋体"/>
          <w:color w:val="auto"/>
          <w:kern w:val="0"/>
          <w:sz w:val="24"/>
          <w:szCs w:val="24"/>
        </w:rPr>
        <w:t>“近年完成的类似项目”应是已列入交通运输主管部门“公路建设市场信用信息管理系统”并公开的“初步设计已批复或施工图设计已批复”的主包业绩或分包业绩，具体时间要求见</w:t>
      </w:r>
      <w:r>
        <w:rPr>
          <w:rFonts w:hint="eastAsia" w:ascii="宋体" w:hAnsi="Times New Roman" w:cs="宋体"/>
          <w:color w:val="auto"/>
          <w:kern w:val="0"/>
          <w:sz w:val="24"/>
          <w:szCs w:val="24"/>
        </w:rPr>
        <w:t>投标人须知前附表。</w:t>
      </w:r>
    </w:p>
    <w:p>
      <w:pPr>
        <w:autoSpaceDE w:val="0"/>
        <w:autoSpaceDN w:val="0"/>
        <w:snapToGrid w:val="0"/>
        <w:spacing w:line="360" w:lineRule="auto"/>
        <w:ind w:firstLine="480"/>
        <w:jc w:val="left"/>
        <w:rPr>
          <w:rFonts w:ascii="宋体" w:hAnsi="Times New Roman" w:cs="Times New Roman"/>
          <w:color w:val="auto"/>
          <w:kern w:val="0"/>
          <w:sz w:val="24"/>
          <w:szCs w:val="24"/>
        </w:rPr>
      </w:pPr>
      <w:r>
        <w:rPr>
          <w:rFonts w:hint="eastAsia" w:ascii="宋体" w:hAnsi="Times New Roman" w:cs="宋体"/>
          <w:color w:val="auto"/>
          <w:kern w:val="0"/>
          <w:sz w:val="24"/>
          <w:szCs w:val="24"/>
        </w:rPr>
        <w:t>“</w:t>
      </w:r>
      <w:r>
        <w:rPr>
          <w:rFonts w:hint="eastAsia" w:ascii="Times New Roman" w:hAnsi="Times New Roman" w:cs="宋体"/>
          <w:color w:val="auto"/>
          <w:kern w:val="0"/>
          <w:sz w:val="24"/>
          <w:szCs w:val="24"/>
        </w:rPr>
        <w:t>近年完成的类似项目情况表</w:t>
      </w:r>
      <w:r>
        <w:rPr>
          <w:rFonts w:hint="eastAsia" w:ascii="宋体" w:hAnsi="Times New Roman" w:cs="宋体"/>
          <w:color w:val="auto"/>
          <w:kern w:val="0"/>
          <w:sz w:val="24"/>
          <w:szCs w:val="24"/>
        </w:rPr>
        <w:t>”应附在交通运输部“</w:t>
      </w:r>
      <w:r>
        <w:rPr>
          <w:rFonts w:hint="eastAsia" w:ascii="宋体" w:hAnsi="宋体" w:cs="宋体"/>
          <w:color w:val="auto"/>
          <w:kern w:val="0"/>
          <w:sz w:val="24"/>
          <w:szCs w:val="24"/>
        </w:rPr>
        <w:t>全国公路建设市场信用信息管理系统</w:t>
      </w:r>
      <w:r>
        <w:rPr>
          <w:rFonts w:hint="eastAsia" w:ascii="宋体" w:hAnsi="Times New Roman" w:cs="宋体"/>
          <w:color w:val="auto"/>
          <w:kern w:val="0"/>
          <w:sz w:val="24"/>
          <w:szCs w:val="24"/>
        </w:rPr>
        <w:t>”（网址：</w:t>
      </w:r>
      <w:r>
        <w:rPr>
          <w:rFonts w:ascii="宋体" w:hAnsi="Times New Roman" w:cs="宋体"/>
          <w:color w:val="auto"/>
          <w:kern w:val="0"/>
          <w:sz w:val="24"/>
          <w:szCs w:val="24"/>
        </w:rPr>
        <w:t>http://glxy.mot.gov.cn/BM/</w:t>
      </w:r>
      <w:r>
        <w:rPr>
          <w:rFonts w:hint="eastAsia" w:ascii="宋体" w:hAnsi="Times New Roman" w:cs="宋体"/>
          <w:color w:val="auto"/>
          <w:kern w:val="0"/>
          <w:sz w:val="24"/>
          <w:szCs w:val="24"/>
        </w:rPr>
        <w:t>）中查询到的企业“业绩信息”相关项目网页截图复印件，即包括“工程名称”“项目类型”“合同价”“技术等级”“主要设计内容”“人员履约信息”等栏目在内的项目详细信息网页截图复印件。在交通运输部“</w:t>
      </w:r>
      <w:r>
        <w:rPr>
          <w:rFonts w:hint="eastAsia" w:ascii="宋体" w:hAnsi="宋体" w:cs="宋体"/>
          <w:color w:val="auto"/>
          <w:kern w:val="0"/>
          <w:sz w:val="24"/>
          <w:szCs w:val="24"/>
        </w:rPr>
        <w:t>全国公路建设市场信用信息管理系统</w:t>
      </w:r>
      <w:r>
        <w:rPr>
          <w:rFonts w:hint="eastAsia" w:ascii="宋体" w:hAnsi="Times New Roman" w:cs="宋体"/>
          <w:color w:val="auto"/>
          <w:kern w:val="0"/>
          <w:sz w:val="24"/>
          <w:szCs w:val="24"/>
        </w:rPr>
        <w:t>”中无法查询，但可在省级交通运输主管部门“</w:t>
      </w:r>
      <w:r>
        <w:rPr>
          <w:rFonts w:hint="eastAsia" w:ascii="宋体" w:hAnsi="宋体" w:cs="宋体"/>
          <w:color w:val="auto"/>
          <w:kern w:val="0"/>
          <w:sz w:val="24"/>
          <w:szCs w:val="24"/>
        </w:rPr>
        <w:t>公路建设市场信用信息管理系统</w:t>
      </w:r>
      <w:r>
        <w:rPr>
          <w:rFonts w:hint="eastAsia" w:ascii="宋体" w:hAnsi="Times New Roman" w:cs="宋体"/>
          <w:color w:val="auto"/>
          <w:kern w:val="0"/>
          <w:sz w:val="24"/>
          <w:szCs w:val="24"/>
        </w:rPr>
        <w:t>”中查询到的网页截图复印件并注明查询路径。除网页截图复印件外，投标人无须再提供任何业绩证明材料。</w:t>
      </w:r>
    </w:p>
    <w:p>
      <w:pPr>
        <w:autoSpaceDE w:val="0"/>
        <w:autoSpaceDN w:val="0"/>
        <w:snapToGrid w:val="0"/>
        <w:spacing w:line="360" w:lineRule="auto"/>
        <w:ind w:firstLine="480"/>
        <w:jc w:val="left"/>
        <w:rPr>
          <w:rFonts w:ascii="宋体" w:hAnsi="Times New Roman" w:cs="Times New Roman"/>
          <w:color w:val="auto"/>
          <w:kern w:val="0"/>
          <w:sz w:val="24"/>
          <w:szCs w:val="24"/>
        </w:rPr>
      </w:pPr>
      <w:r>
        <w:rPr>
          <w:rFonts w:hint="eastAsia" w:ascii="宋体" w:hAnsi="Times New Roman" w:cs="宋体"/>
          <w:color w:val="auto"/>
          <w:kern w:val="0"/>
          <w:sz w:val="24"/>
          <w:szCs w:val="24"/>
        </w:rPr>
        <w:t>如投标人未提供相关项目网页截图复印件或相关项目网页截图中的信息无法证实投标人满足招标文件规定的资格审查条件（业绩最低要求），则该项目业绩不予认定。</w:t>
      </w:r>
    </w:p>
    <w:p>
      <w:pPr>
        <w:autoSpaceDE w:val="0"/>
        <w:autoSpaceDN w:val="0"/>
        <w:snapToGrid w:val="0"/>
        <w:spacing w:line="360" w:lineRule="auto"/>
        <w:ind w:firstLine="480"/>
        <w:jc w:val="left"/>
        <w:rPr>
          <w:rFonts w:ascii="宋体" w:hAnsi="Times New Roman" w:cs="Times New Roman"/>
          <w:color w:val="auto"/>
          <w:kern w:val="0"/>
          <w:sz w:val="24"/>
          <w:szCs w:val="24"/>
        </w:rPr>
      </w:pPr>
      <w:r>
        <w:rPr>
          <w:rFonts w:ascii="Times New Roman" w:hAnsi="Times New Roman" w:cs="Times New Roman"/>
          <w:color w:val="auto"/>
          <w:kern w:val="0"/>
          <w:sz w:val="24"/>
          <w:szCs w:val="24"/>
        </w:rPr>
        <w:t xml:space="preserve">3.5.3 </w:t>
      </w:r>
      <w:r>
        <w:rPr>
          <w:rFonts w:hint="eastAsia" w:ascii="宋体" w:hAnsi="Times New Roman" w:cs="宋体"/>
          <w:color w:val="auto"/>
          <w:kern w:val="0"/>
          <w:sz w:val="24"/>
          <w:szCs w:val="24"/>
        </w:rPr>
        <w:t>“投标人的信誉情况表”应附投标人在国家企业信用信息公示系统中未被列入严重违法失信企业名单、在“信用中国”网站中未列入失信被执行人名单的网页截图复印件，以及由项目所在地或投标人住所地检察机关职务犯罪预防部门出具的近三年内投标人及其法定代表人、拟委任的项目负责人均无行贿犯罪行为的查询记录证明原件。</w:t>
      </w:r>
    </w:p>
    <w:p>
      <w:pPr>
        <w:autoSpaceDE w:val="0"/>
        <w:autoSpaceDN w:val="0"/>
        <w:snapToGrid w:val="0"/>
        <w:spacing w:line="360" w:lineRule="auto"/>
        <w:ind w:firstLine="480"/>
        <w:jc w:val="left"/>
        <w:rPr>
          <w:rFonts w:ascii="宋体" w:hAnsi="Times New Roman" w:cs="Times New Roman"/>
          <w:color w:val="auto"/>
          <w:kern w:val="0"/>
          <w:sz w:val="24"/>
          <w:szCs w:val="24"/>
        </w:rPr>
      </w:pPr>
      <w:r>
        <w:rPr>
          <w:rFonts w:ascii="Times New Roman" w:hAnsi="Times New Roman" w:cs="Times New Roman"/>
          <w:color w:val="auto"/>
          <w:kern w:val="0"/>
          <w:sz w:val="24"/>
          <w:szCs w:val="24"/>
        </w:rPr>
        <w:t xml:space="preserve">3.5.4 </w:t>
      </w:r>
      <w:r>
        <w:rPr>
          <w:rFonts w:hint="eastAsia" w:ascii="宋体" w:hAnsi="Times New Roman" w:cs="宋体"/>
          <w:color w:val="auto"/>
          <w:kern w:val="0"/>
          <w:sz w:val="24"/>
          <w:szCs w:val="24"/>
        </w:rPr>
        <w:t>“拟委任的项目负责人资历表”应附项目负责人的身份证、职称资格证书和资格审查条件所要求的的其他相关证书的复印件，以及投标人所属社保机构出具的拟委任的项目负责人的社保缴费证明或其他能够证明拟委任的项目负责人参加社保的有效证明材料复印件。</w:t>
      </w:r>
    </w:p>
    <w:p>
      <w:pPr>
        <w:autoSpaceDE w:val="0"/>
        <w:autoSpaceDN w:val="0"/>
        <w:snapToGrid w:val="0"/>
        <w:spacing w:line="360" w:lineRule="auto"/>
        <w:ind w:firstLine="480"/>
        <w:jc w:val="left"/>
        <w:rPr>
          <w:rFonts w:ascii="宋体" w:hAnsi="Times New Roman" w:cs="Times New Roman"/>
          <w:color w:val="auto"/>
          <w:kern w:val="0"/>
          <w:sz w:val="24"/>
          <w:szCs w:val="24"/>
        </w:rPr>
      </w:pPr>
      <w:r>
        <w:rPr>
          <w:rFonts w:hint="eastAsia" w:ascii="宋体" w:hAnsi="Times New Roman" w:cs="宋体"/>
          <w:color w:val="auto"/>
          <w:kern w:val="0"/>
          <w:sz w:val="24"/>
          <w:szCs w:val="24"/>
        </w:rPr>
        <w:t>“拟委任的项目负责人资历表”还应附交通运输部“</w:t>
      </w:r>
      <w:r>
        <w:rPr>
          <w:rFonts w:hint="eastAsia" w:ascii="宋体" w:hAnsi="宋体" w:cs="宋体"/>
          <w:color w:val="auto"/>
          <w:kern w:val="0"/>
          <w:sz w:val="24"/>
          <w:szCs w:val="24"/>
        </w:rPr>
        <w:t>全国公路建设市场信用信息管理系统</w:t>
      </w:r>
      <w:r>
        <w:rPr>
          <w:rFonts w:hint="eastAsia" w:ascii="宋体" w:hAnsi="Times New Roman" w:cs="宋体"/>
          <w:color w:val="auto"/>
          <w:kern w:val="0"/>
          <w:sz w:val="24"/>
          <w:szCs w:val="24"/>
        </w:rPr>
        <w:t>”中载明的、能够证明项目负责人具有相关业绩的网页截图复印件。在交通运输部“</w:t>
      </w:r>
      <w:r>
        <w:rPr>
          <w:rFonts w:hint="eastAsia" w:ascii="宋体" w:hAnsi="宋体" w:cs="宋体"/>
          <w:color w:val="auto"/>
          <w:kern w:val="0"/>
          <w:sz w:val="24"/>
          <w:szCs w:val="24"/>
        </w:rPr>
        <w:t>全国公路建设市场信用信息管理系统</w:t>
      </w:r>
      <w:r>
        <w:rPr>
          <w:rFonts w:hint="eastAsia" w:ascii="宋体" w:hAnsi="Times New Roman" w:cs="宋体"/>
          <w:color w:val="auto"/>
          <w:kern w:val="0"/>
          <w:sz w:val="24"/>
          <w:szCs w:val="24"/>
        </w:rPr>
        <w:t>”中无法查询，但可在省级交通运输主管部门“</w:t>
      </w:r>
      <w:r>
        <w:rPr>
          <w:rFonts w:hint="eastAsia" w:ascii="宋体" w:hAnsi="宋体" w:cs="宋体"/>
          <w:color w:val="auto"/>
          <w:kern w:val="0"/>
          <w:sz w:val="24"/>
          <w:szCs w:val="24"/>
        </w:rPr>
        <w:t>公路建设市场信用信息管理系统</w:t>
      </w:r>
      <w:r>
        <w:rPr>
          <w:rFonts w:hint="eastAsia" w:ascii="宋体" w:hAnsi="Times New Roman" w:cs="宋体"/>
          <w:color w:val="auto"/>
          <w:kern w:val="0"/>
          <w:sz w:val="24"/>
          <w:szCs w:val="24"/>
        </w:rPr>
        <w:t>”中查询的，应附省级交通运输主管部门“</w:t>
      </w:r>
      <w:r>
        <w:rPr>
          <w:rFonts w:hint="eastAsia" w:ascii="宋体" w:hAnsi="宋体" w:cs="宋体"/>
          <w:color w:val="auto"/>
          <w:kern w:val="0"/>
          <w:sz w:val="24"/>
          <w:szCs w:val="24"/>
        </w:rPr>
        <w:t>公路建设市场信用信息管理系统</w:t>
      </w:r>
      <w:r>
        <w:rPr>
          <w:rFonts w:hint="eastAsia" w:ascii="宋体" w:hAnsi="Times New Roman" w:cs="宋体"/>
          <w:color w:val="auto"/>
          <w:kern w:val="0"/>
          <w:sz w:val="24"/>
          <w:szCs w:val="24"/>
        </w:rPr>
        <w:t>”中查询到的网页截图复印件并注明查询路径。除网页截图复印件外，投标人无须再提供任何业绩证明材料。如投标人未提供相关业绩网页截图复印件或相关业绩网页截图中的信息无法证实投标人满足招标文件规定的资格审查条件（项目负责人最低要求），则该业绩业绩不予认定。</w:t>
      </w:r>
    </w:p>
    <w:p>
      <w:pPr>
        <w:autoSpaceDE w:val="0"/>
        <w:autoSpaceDN w:val="0"/>
        <w:snapToGrid w:val="0"/>
        <w:spacing w:line="360" w:lineRule="auto"/>
        <w:ind w:firstLine="480"/>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 xml:space="preserve">3.5.5 </w:t>
      </w:r>
      <w:r>
        <w:rPr>
          <w:rFonts w:hint="eastAsia" w:ascii="Times New Roman" w:hAnsi="Times New Roman" w:cs="宋体"/>
          <w:color w:val="auto"/>
          <w:kern w:val="0"/>
          <w:sz w:val="24"/>
          <w:szCs w:val="24"/>
        </w:rPr>
        <w:t>“拟委任的分项负责人汇总表”（如有）应填报满足投标人须知前附表附录</w:t>
      </w:r>
      <w:r>
        <w:rPr>
          <w:rFonts w:ascii="Times New Roman" w:hAnsi="Times New Roman" w:cs="Times New Roman"/>
          <w:color w:val="auto"/>
          <w:kern w:val="0"/>
          <w:sz w:val="24"/>
          <w:szCs w:val="24"/>
        </w:rPr>
        <w:t>5</w:t>
      </w:r>
      <w:r>
        <w:rPr>
          <w:rFonts w:hint="eastAsia" w:ascii="Times New Roman" w:hAnsi="Times New Roman" w:cs="宋体"/>
          <w:color w:val="auto"/>
          <w:kern w:val="0"/>
          <w:sz w:val="24"/>
          <w:szCs w:val="24"/>
        </w:rPr>
        <w:t>规定的各专业分项负责人的相关信息。“拟委任的分项负责人汇总表”（如有）中分项负责人应附</w:t>
      </w:r>
      <w:r>
        <w:rPr>
          <w:rFonts w:hint="eastAsia" w:ascii="宋体" w:hAnsi="Times New Roman" w:cs="宋体"/>
          <w:color w:val="auto"/>
          <w:kern w:val="0"/>
          <w:sz w:val="24"/>
          <w:szCs w:val="24"/>
        </w:rPr>
        <w:t>身份证、职称资格证书和资格审查条件所要求的的其他相关证书的复印件，相关业绩证明材料复印件，以及投标人所属社保机构出具的拟委任的项目负责人的社保缴费证明或其他能够证明拟委任的项目负责人参加社保的有效证明材料复印件。</w:t>
      </w:r>
    </w:p>
    <w:p>
      <w:pPr>
        <w:autoSpaceDE w:val="0"/>
        <w:autoSpaceDN w:val="0"/>
        <w:snapToGrid w:val="0"/>
        <w:spacing w:line="360" w:lineRule="auto"/>
        <w:ind w:firstLine="480"/>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 xml:space="preserve">3.5.6 </w:t>
      </w:r>
      <w:r>
        <w:rPr>
          <w:rFonts w:hint="eastAsia" w:ascii="Times New Roman" w:hAnsi="Times New Roman" w:cs="宋体"/>
          <w:color w:val="auto"/>
          <w:kern w:val="0"/>
          <w:sz w:val="24"/>
          <w:szCs w:val="24"/>
        </w:rPr>
        <w:t>投标人须知前附表规定接受联合体投标的，本章第</w:t>
      </w:r>
      <w:r>
        <w:rPr>
          <w:rFonts w:ascii="Times New Roman" w:hAnsi="Times New Roman" w:cs="Times New Roman"/>
          <w:color w:val="auto"/>
          <w:kern w:val="0"/>
          <w:sz w:val="24"/>
          <w:szCs w:val="24"/>
        </w:rPr>
        <w:t>3.5.1</w:t>
      </w:r>
      <w:r>
        <w:rPr>
          <w:rFonts w:hint="eastAsia" w:ascii="Times New Roman" w:hAnsi="Times New Roman" w:cs="宋体"/>
          <w:color w:val="auto"/>
          <w:kern w:val="0"/>
          <w:sz w:val="24"/>
          <w:szCs w:val="24"/>
        </w:rPr>
        <w:t>项至第</w:t>
      </w:r>
      <w:r>
        <w:rPr>
          <w:rFonts w:ascii="Times New Roman" w:hAnsi="Times New Roman" w:cs="Times New Roman"/>
          <w:color w:val="auto"/>
          <w:kern w:val="0"/>
          <w:sz w:val="24"/>
          <w:szCs w:val="24"/>
        </w:rPr>
        <w:t>3.5.5</w:t>
      </w:r>
      <w:r>
        <w:rPr>
          <w:rFonts w:hint="eastAsia" w:ascii="Times New Roman" w:hAnsi="Times New Roman" w:cs="宋体"/>
          <w:color w:val="auto"/>
          <w:kern w:val="0"/>
          <w:sz w:val="24"/>
          <w:szCs w:val="24"/>
        </w:rPr>
        <w:t>项规定的表格和资料应包括联合体各方面相关情况。</w:t>
      </w:r>
    </w:p>
    <w:p>
      <w:pPr>
        <w:autoSpaceDE w:val="0"/>
        <w:autoSpaceDN w:val="0"/>
        <w:snapToGrid w:val="0"/>
        <w:spacing w:line="360" w:lineRule="auto"/>
        <w:ind w:firstLine="480"/>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 xml:space="preserve">3.5.7 </w:t>
      </w:r>
      <w:r>
        <w:rPr>
          <w:rFonts w:hint="eastAsia" w:ascii="Times New Roman" w:hAnsi="Times New Roman" w:cs="宋体"/>
          <w:color w:val="auto"/>
          <w:kern w:val="0"/>
          <w:sz w:val="24"/>
          <w:szCs w:val="24"/>
        </w:rPr>
        <w:t>除合同条款约定的特殊情形外，投标人在投标文件中填报的项目负责人不允许更换。</w:t>
      </w:r>
    </w:p>
    <w:p>
      <w:pPr>
        <w:autoSpaceDE w:val="0"/>
        <w:autoSpaceDN w:val="0"/>
        <w:snapToGrid w:val="0"/>
        <w:spacing w:line="360" w:lineRule="auto"/>
        <w:ind w:firstLine="480"/>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 xml:space="preserve">3.5.8 </w:t>
      </w:r>
      <w:r>
        <w:rPr>
          <w:rFonts w:hint="eastAsia" w:ascii="Times New Roman" w:hAnsi="Times New Roman" w:cs="宋体"/>
          <w:color w:val="auto"/>
          <w:kern w:val="0"/>
          <w:sz w:val="24"/>
          <w:szCs w:val="24"/>
        </w:rPr>
        <w:t>投标人在投标文件中填报的资质。业绩、主要人员资历和目前在岗情况、信用等级信息，应与其在交通运输主管部门“公路建设市场信用信息管理系统”上填报并发布的相关信息一致。投标人应根据本单位实际情况及时完成相关信息的申报、录入和动态更新，并对相关信息的真实性、完整性和准确性负责。</w:t>
      </w:r>
    </w:p>
    <w:p>
      <w:pPr>
        <w:autoSpaceDE w:val="0"/>
        <w:autoSpaceDN w:val="0"/>
        <w:snapToGrid w:val="0"/>
        <w:spacing w:line="360" w:lineRule="auto"/>
        <w:ind w:firstLine="480"/>
        <w:jc w:val="left"/>
        <w:rPr>
          <w:rFonts w:ascii="Times New Roman" w:hAnsi="Times New Roman" w:cs="Times New Roman"/>
          <w:color w:val="auto"/>
          <w:kern w:val="0"/>
          <w:sz w:val="24"/>
          <w:szCs w:val="24"/>
        </w:rPr>
      </w:pPr>
      <w:r>
        <w:rPr>
          <w:rFonts w:ascii="Times New Roman" w:hAnsi="Times New Roman" w:cs="Times New Roman"/>
          <w:color w:val="auto"/>
          <w:kern w:val="0"/>
          <w:sz w:val="24"/>
          <w:szCs w:val="24"/>
        </w:rPr>
        <w:t xml:space="preserve">3.5.9 </w:t>
      </w:r>
      <w:r>
        <w:rPr>
          <w:rFonts w:hint="eastAsia" w:ascii="Times New Roman" w:hAnsi="Times New Roman" w:cs="宋体"/>
          <w:color w:val="auto"/>
          <w:kern w:val="0"/>
          <w:sz w:val="24"/>
          <w:szCs w:val="24"/>
        </w:rPr>
        <w:t>招标人有权核查投标人在资格预审申请文件和投标文件中提供的资料，若在评标期间发现投标人提供了虚假资料，其投标将被否决；若在签订合同签发现作为中标候选人的投标人提供了虚假资料，招标人有权取消其中标资格；若在合同实施期间发现投标人提供录入虚假资料，招标人有权从合同价款或履约保证金中扣除不超过</w:t>
      </w:r>
      <w:r>
        <w:rPr>
          <w:rFonts w:ascii="Times New Roman" w:hAnsi="Times New Roman" w:cs="Times New Roman"/>
          <w:color w:val="auto"/>
          <w:kern w:val="0"/>
          <w:sz w:val="24"/>
          <w:szCs w:val="24"/>
        </w:rPr>
        <w:t>5%</w:t>
      </w:r>
      <w:r>
        <w:rPr>
          <w:rFonts w:hint="eastAsia" w:ascii="Times New Roman" w:hAnsi="Times New Roman" w:cs="宋体"/>
          <w:color w:val="auto"/>
          <w:kern w:val="0"/>
          <w:sz w:val="24"/>
          <w:szCs w:val="24"/>
        </w:rPr>
        <w:t>签约合同价的金额作为违约金。同时招标人将投标人上述弄虚作假行为上报省级交通运输主管部门，作为不良记录纳入公路建设市场信用信息管理系统。</w:t>
      </w:r>
    </w:p>
    <w:p>
      <w:pPr>
        <w:autoSpaceDE w:val="0"/>
        <w:autoSpaceDN w:val="0"/>
        <w:snapToGrid w:val="0"/>
        <w:spacing w:line="360" w:lineRule="auto"/>
        <w:jc w:val="left"/>
        <w:rPr>
          <w:rFonts w:ascii="黑体" w:hAnsi="Times New Roman" w:eastAsia="黑体" w:cs="黑体"/>
          <w:color w:val="auto"/>
          <w:sz w:val="24"/>
          <w:szCs w:val="24"/>
        </w:rPr>
      </w:pPr>
      <w:r>
        <w:rPr>
          <w:rFonts w:hAnsi="Times New Roman"/>
          <w:color w:val="auto"/>
          <w:sz w:val="24"/>
          <w:szCs w:val="24"/>
        </w:rPr>
        <w:t xml:space="preserve">3.6 </w:t>
      </w:r>
      <w:r>
        <w:rPr>
          <w:rFonts w:hint="eastAsia" w:ascii="黑体" w:hAnsi="Times New Roman" w:eastAsia="黑体" w:cs="黑体"/>
          <w:color w:val="auto"/>
          <w:sz w:val="24"/>
          <w:szCs w:val="24"/>
        </w:rPr>
        <w:t>备选投标方案</w:t>
      </w:r>
    </w:p>
    <w:p>
      <w:pPr>
        <w:autoSpaceDE w:val="0"/>
        <w:autoSpaceDN w:val="0"/>
        <w:snapToGrid w:val="0"/>
        <w:spacing w:line="360" w:lineRule="auto"/>
        <w:ind w:firstLine="480"/>
        <w:jc w:val="left"/>
        <w:rPr>
          <w:rFonts w:hAnsi="Times New Roman" w:cs="Times New Roman"/>
          <w:color w:val="auto"/>
          <w:sz w:val="24"/>
          <w:szCs w:val="24"/>
        </w:rPr>
      </w:pPr>
      <w:r>
        <w:rPr>
          <w:rFonts w:hAnsi="Times New Roman" w:eastAsia="黑体"/>
          <w:color w:val="auto"/>
          <w:sz w:val="24"/>
          <w:szCs w:val="24"/>
        </w:rPr>
        <w:t xml:space="preserve">3.6.1 </w:t>
      </w:r>
      <w:r>
        <w:rPr>
          <w:rFonts w:hint="eastAsia" w:cs="宋体"/>
          <w:color w:val="auto"/>
          <w:sz w:val="24"/>
          <w:szCs w:val="24"/>
        </w:rPr>
        <w:t>除投标人须知前附表规定允许外，投标人不得递交备选投标方案，否则其投标将被否决。</w:t>
      </w:r>
    </w:p>
    <w:p>
      <w:pPr>
        <w:autoSpaceDE w:val="0"/>
        <w:autoSpaceDN w:val="0"/>
        <w:snapToGrid w:val="0"/>
        <w:spacing w:line="360" w:lineRule="auto"/>
        <w:ind w:firstLine="480"/>
        <w:jc w:val="left"/>
        <w:rPr>
          <w:rFonts w:hAnsi="Times New Roman" w:cs="Times New Roman"/>
          <w:color w:val="auto"/>
          <w:sz w:val="24"/>
          <w:szCs w:val="24"/>
        </w:rPr>
      </w:pPr>
      <w:r>
        <w:rPr>
          <w:rFonts w:hAnsi="Times New Roman"/>
          <w:color w:val="auto"/>
          <w:sz w:val="24"/>
          <w:szCs w:val="24"/>
        </w:rPr>
        <w:t xml:space="preserve">3.6.2 </w:t>
      </w:r>
      <w:r>
        <w:rPr>
          <w:rFonts w:hint="eastAsia" w:hAnsi="Times New Roman" w:cs="宋体"/>
          <w:color w:val="auto"/>
          <w:sz w:val="24"/>
          <w:szCs w:val="24"/>
        </w:rPr>
        <w:t>允许投标人递交备选投标方案的，只有中标人所递交的备选投标方案方可予以考虑。评标委员会认为中标人的备选投标方案优于其按照招标文件要求编制的投标方案的，招标人可以接受备选投标方案。</w:t>
      </w:r>
    </w:p>
    <w:p>
      <w:pPr>
        <w:autoSpaceDE w:val="0"/>
        <w:autoSpaceDN w:val="0"/>
        <w:snapToGrid w:val="0"/>
        <w:spacing w:line="360" w:lineRule="auto"/>
        <w:ind w:firstLine="480"/>
        <w:jc w:val="left"/>
        <w:rPr>
          <w:rFonts w:hAnsi="Times New Roman" w:cs="Times New Roman"/>
          <w:color w:val="auto"/>
          <w:sz w:val="24"/>
          <w:szCs w:val="24"/>
        </w:rPr>
      </w:pPr>
      <w:r>
        <w:rPr>
          <w:rFonts w:hAnsi="Times New Roman"/>
          <w:color w:val="auto"/>
          <w:sz w:val="24"/>
          <w:szCs w:val="24"/>
        </w:rPr>
        <w:t xml:space="preserve">3.6.3 </w:t>
      </w:r>
      <w:r>
        <w:rPr>
          <w:rFonts w:hint="eastAsia" w:hAnsi="Times New Roman" w:cs="宋体"/>
          <w:color w:val="auto"/>
          <w:sz w:val="24"/>
          <w:szCs w:val="24"/>
        </w:rPr>
        <w:t>投标人提供两个或两个以上投标报价，或在投标文件中提供一个报价，但同时提供两个或两个以上技术建议书的，视为提供备选方案。</w:t>
      </w:r>
    </w:p>
    <w:p>
      <w:pPr>
        <w:autoSpaceDE w:val="0"/>
        <w:autoSpaceDN w:val="0"/>
        <w:snapToGrid w:val="0"/>
        <w:spacing w:line="360" w:lineRule="auto"/>
        <w:jc w:val="left"/>
        <w:rPr>
          <w:rFonts w:ascii="黑体" w:hAnsi="Times New Roman" w:eastAsia="黑体" w:cs="黑体"/>
          <w:color w:val="auto"/>
          <w:sz w:val="24"/>
          <w:szCs w:val="24"/>
        </w:rPr>
      </w:pPr>
      <w:r>
        <w:rPr>
          <w:rFonts w:hAnsi="Times New Roman"/>
          <w:color w:val="auto"/>
          <w:sz w:val="24"/>
          <w:szCs w:val="24"/>
        </w:rPr>
        <w:t xml:space="preserve">3.7 </w:t>
      </w:r>
      <w:r>
        <w:rPr>
          <w:rFonts w:hint="eastAsia" w:ascii="黑体" w:hAnsi="Times New Roman" w:eastAsia="黑体" w:cs="黑体"/>
          <w:color w:val="auto"/>
          <w:sz w:val="24"/>
          <w:szCs w:val="24"/>
        </w:rPr>
        <w:t>投标文件的编制</w:t>
      </w:r>
    </w:p>
    <w:p>
      <w:pPr>
        <w:autoSpaceDE w:val="0"/>
        <w:autoSpaceDN w:val="0"/>
        <w:snapToGrid w:val="0"/>
        <w:spacing w:line="360" w:lineRule="auto"/>
        <w:ind w:firstLine="480"/>
        <w:jc w:val="left"/>
        <w:rPr>
          <w:rFonts w:hAnsi="Times New Roman"/>
          <w:color w:val="auto"/>
          <w:sz w:val="24"/>
          <w:szCs w:val="24"/>
        </w:rPr>
      </w:pPr>
      <w:r>
        <w:rPr>
          <w:rFonts w:hAnsi="Times New Roman" w:eastAsia="黑体"/>
          <w:color w:val="auto"/>
          <w:sz w:val="24"/>
          <w:szCs w:val="24"/>
        </w:rPr>
        <w:t xml:space="preserve">3.7.1 </w:t>
      </w:r>
      <w:r>
        <w:rPr>
          <w:rFonts w:hint="eastAsia" w:hAnsi="Times New Roman" w:cs="宋体"/>
          <w:color w:val="auto"/>
          <w:sz w:val="24"/>
          <w:szCs w:val="24"/>
        </w:rPr>
        <w:t>投标文件应按第六章“投标文件格式”进行编写，如有必要，可以增加附页，作为投标文件的组成部分。</w:t>
      </w:r>
    </w:p>
    <w:p>
      <w:pPr>
        <w:autoSpaceDE w:val="0"/>
        <w:autoSpaceDN w:val="0"/>
        <w:snapToGrid w:val="0"/>
        <w:spacing w:line="360" w:lineRule="auto"/>
        <w:ind w:firstLine="480"/>
        <w:jc w:val="left"/>
        <w:rPr>
          <w:rFonts w:ascii="宋体" w:hAnsi="Times New Roman" w:cs="宋体"/>
          <w:color w:val="auto"/>
          <w:kern w:val="0"/>
          <w:sz w:val="24"/>
          <w:szCs w:val="24"/>
        </w:rPr>
      </w:pPr>
      <w:r>
        <w:rPr>
          <w:rFonts w:ascii="Times New Roman" w:hAnsi="Times New Roman" w:cs="Times New Roman"/>
          <w:color w:val="auto"/>
          <w:kern w:val="0"/>
          <w:sz w:val="24"/>
          <w:szCs w:val="24"/>
        </w:rPr>
        <w:t xml:space="preserve">3.7.2 </w:t>
      </w:r>
      <w:r>
        <w:rPr>
          <w:rFonts w:hint="eastAsia" w:ascii="宋体" w:hAnsi="Times New Roman" w:cs="宋体"/>
          <w:color w:val="auto"/>
          <w:kern w:val="0"/>
          <w:sz w:val="24"/>
          <w:szCs w:val="24"/>
        </w:rPr>
        <w:t>投标文件应当对招标文件有关勘察设计服务期限、投标有效期、质量要求、安全目标、发包人要求、招标范围等实质性内容作出响应。</w:t>
      </w:r>
    </w:p>
    <w:p>
      <w:pPr>
        <w:autoSpaceDE w:val="0"/>
        <w:autoSpaceDN w:val="0"/>
        <w:snapToGrid w:val="0"/>
        <w:spacing w:line="360" w:lineRule="auto"/>
        <w:ind w:firstLine="480"/>
        <w:jc w:val="left"/>
        <w:rPr>
          <w:rFonts w:hAnsi="Times New Roman" w:cs="Times New Roman"/>
          <w:b/>
          <w:bCs/>
          <w:color w:val="auto"/>
          <w:sz w:val="24"/>
          <w:szCs w:val="24"/>
        </w:rPr>
      </w:pPr>
      <w:r>
        <w:rPr>
          <w:rFonts w:hAnsi="Times New Roman"/>
          <w:color w:val="auto"/>
          <w:sz w:val="24"/>
          <w:szCs w:val="24"/>
        </w:rPr>
        <w:t xml:space="preserve">3.7.3 </w:t>
      </w:r>
      <w:r>
        <w:rPr>
          <w:rFonts w:hint="eastAsia" w:hAnsi="Times New Roman" w:cs="宋体"/>
          <w:color w:val="auto"/>
          <w:sz w:val="24"/>
          <w:szCs w:val="24"/>
        </w:rPr>
        <w:t>投标文件应用不褪色的材料书写或打印。投标文件格式中明确要求投标人法定代表人或其委托代理人签字之处，必须由相关人员亲笔签名，不得使用印章、签名章或其他电子制版签名代替；明确要求投标人加盖单位章之处，必须加盖单位章。其中，投标函及对投标文件的澄清和说明应加盖投标人单位章，或由投标人的法定代表人或其委托代理人签字。</w:t>
      </w:r>
    </w:p>
    <w:p>
      <w:pPr>
        <w:autoSpaceDE w:val="0"/>
        <w:autoSpaceDN w:val="0"/>
        <w:snapToGrid w:val="0"/>
        <w:spacing w:line="360" w:lineRule="auto"/>
        <w:ind w:firstLine="480"/>
        <w:jc w:val="left"/>
        <w:rPr>
          <w:rFonts w:hAnsi="Times New Roman" w:cs="Times New Roman"/>
          <w:color w:val="auto"/>
          <w:sz w:val="24"/>
          <w:szCs w:val="24"/>
        </w:rPr>
      </w:pPr>
      <w:r>
        <w:rPr>
          <w:rFonts w:hint="eastAsia" w:hAnsi="Times New Roman" w:cs="宋体"/>
          <w:color w:val="auto"/>
          <w:sz w:val="24"/>
          <w:szCs w:val="24"/>
        </w:rPr>
        <w:t>如果投标文件由委托代理人签署，则投标人须提交授权委托书，授权委托书应按第六章“投标文件格式”的要求出具，并由法定代表人和委托代理人亲笔签名，不得使用印章、签名章或其他电子制版签名代替。</w:t>
      </w:r>
    </w:p>
    <w:p>
      <w:pPr>
        <w:autoSpaceDE w:val="0"/>
        <w:autoSpaceDN w:val="0"/>
        <w:snapToGrid w:val="0"/>
        <w:spacing w:line="360" w:lineRule="auto"/>
        <w:ind w:firstLine="480"/>
        <w:jc w:val="left"/>
        <w:rPr>
          <w:rFonts w:hAnsi="Times New Roman" w:cs="Times New Roman"/>
          <w:color w:val="auto"/>
          <w:sz w:val="24"/>
          <w:szCs w:val="24"/>
        </w:rPr>
      </w:pPr>
      <w:r>
        <w:rPr>
          <w:rFonts w:hint="eastAsia" w:hAnsi="Times New Roman" w:cs="宋体"/>
          <w:color w:val="auto"/>
          <w:sz w:val="24"/>
          <w:szCs w:val="24"/>
        </w:rPr>
        <w:t>如果由投标人的法定代表人亲自签署投标文件，则投标人须提交法定代表人身份证明，应符合第六章“投标文件格式”的要求。</w:t>
      </w:r>
    </w:p>
    <w:p>
      <w:pPr>
        <w:autoSpaceDE w:val="0"/>
        <w:autoSpaceDN w:val="0"/>
        <w:snapToGrid w:val="0"/>
        <w:spacing w:line="360" w:lineRule="auto"/>
        <w:ind w:firstLine="480"/>
        <w:jc w:val="left"/>
        <w:rPr>
          <w:rFonts w:hAnsi="Times New Roman"/>
          <w:color w:val="auto"/>
          <w:sz w:val="24"/>
          <w:szCs w:val="24"/>
        </w:rPr>
      </w:pPr>
      <w:r>
        <w:rPr>
          <w:rFonts w:hint="eastAsia" w:hAnsi="Times New Roman" w:cs="宋体"/>
          <w:color w:val="auto"/>
          <w:sz w:val="24"/>
          <w:szCs w:val="24"/>
        </w:rPr>
        <w:t>以联合体形式参与投标的，投标文件由联合体牵头人的法定代表人或其委托代理人按上述规定签署并加盖联合体牵头人单位章。法定代表人授权委托书或法定代表人身份证明须由联合体牵头人按上述规定出具。</w:t>
      </w:r>
    </w:p>
    <w:p>
      <w:pPr>
        <w:autoSpaceDE w:val="0"/>
        <w:autoSpaceDN w:val="0"/>
        <w:snapToGrid w:val="0"/>
        <w:spacing w:line="360" w:lineRule="auto"/>
        <w:ind w:firstLine="480"/>
        <w:jc w:val="left"/>
        <w:rPr>
          <w:rFonts w:hAnsi="Times New Roman"/>
          <w:color w:val="auto"/>
          <w:sz w:val="24"/>
          <w:szCs w:val="24"/>
        </w:rPr>
      </w:pPr>
      <w:r>
        <w:rPr>
          <w:rFonts w:hint="eastAsia" w:hAnsi="Times New Roman" w:cs="宋体"/>
          <w:color w:val="auto"/>
          <w:sz w:val="24"/>
          <w:szCs w:val="24"/>
        </w:rPr>
        <w:t>投标文件应尽量避免涂改、行间插字或删除。如果出现上述情况，改动之处应由投标人的法定代表人或其授权的代理人签字或盖单位章。</w:t>
      </w:r>
    </w:p>
    <w:p>
      <w:pPr>
        <w:autoSpaceDE w:val="0"/>
        <w:autoSpaceDN w:val="0"/>
        <w:snapToGrid w:val="0"/>
        <w:spacing w:line="360" w:lineRule="auto"/>
        <w:ind w:firstLine="480"/>
        <w:jc w:val="left"/>
        <w:rPr>
          <w:rFonts w:hAnsi="Times New Roman"/>
          <w:color w:val="auto"/>
          <w:sz w:val="24"/>
          <w:szCs w:val="24"/>
        </w:rPr>
      </w:pPr>
      <w:r>
        <w:rPr>
          <w:rFonts w:hAnsi="Times New Roman"/>
          <w:color w:val="auto"/>
          <w:sz w:val="24"/>
          <w:szCs w:val="24"/>
        </w:rPr>
        <w:t xml:space="preserve">3.7.4 </w:t>
      </w:r>
      <w:r>
        <w:rPr>
          <w:rFonts w:hint="eastAsia" w:hAnsi="Times New Roman" w:cs="宋体"/>
          <w:color w:val="auto"/>
          <w:sz w:val="24"/>
          <w:szCs w:val="24"/>
        </w:rPr>
        <w:t>投标文件正本一份</w:t>
      </w:r>
      <w:r>
        <w:rPr>
          <w:rFonts w:hAnsi="Times New Roman"/>
          <w:color w:val="auto"/>
          <w:sz w:val="24"/>
          <w:szCs w:val="24"/>
        </w:rPr>
        <w:t xml:space="preserve">, </w:t>
      </w:r>
      <w:r>
        <w:rPr>
          <w:rFonts w:hint="eastAsia" w:hAnsi="Times New Roman" w:cs="宋体"/>
          <w:color w:val="auto"/>
          <w:sz w:val="24"/>
          <w:szCs w:val="24"/>
        </w:rPr>
        <w:t>副本份数见投标人须知前附表。正本和副本的封面右上角上应清楚地标记“正本”或“副本”字样。投标人应根据投标人须知前附表要求提供电子版文件。当副本和正本不一致或电子版文件和纸质正本文件不一致时，以纸质正本文件为准。</w:t>
      </w:r>
    </w:p>
    <w:p>
      <w:pPr>
        <w:autoSpaceDE w:val="0"/>
        <w:autoSpaceDN w:val="0"/>
        <w:snapToGrid w:val="0"/>
        <w:spacing w:line="360" w:lineRule="auto"/>
        <w:ind w:firstLine="480"/>
        <w:jc w:val="left"/>
        <w:rPr>
          <w:rFonts w:hAnsi="Times New Roman" w:cs="Times New Roman"/>
          <w:color w:val="auto"/>
          <w:sz w:val="24"/>
          <w:szCs w:val="24"/>
        </w:rPr>
      </w:pPr>
      <w:r>
        <w:rPr>
          <w:rFonts w:hAnsi="Times New Roman"/>
          <w:color w:val="auto"/>
          <w:sz w:val="24"/>
          <w:szCs w:val="24"/>
        </w:rPr>
        <w:t xml:space="preserve">3.7.5 </w:t>
      </w:r>
      <w:r>
        <w:rPr>
          <w:rFonts w:hint="eastAsia" w:hAnsi="Times New Roman" w:cs="宋体"/>
          <w:color w:val="auto"/>
          <w:sz w:val="24"/>
          <w:szCs w:val="24"/>
        </w:rPr>
        <w:t>投标文件的正本与副本应分别装订成册（</w:t>
      </w:r>
      <w:r>
        <w:rPr>
          <w:rFonts w:hAnsi="Times New Roman"/>
          <w:color w:val="auto"/>
          <w:sz w:val="24"/>
          <w:szCs w:val="24"/>
        </w:rPr>
        <w:t>A4</w:t>
      </w:r>
      <w:r>
        <w:rPr>
          <w:rFonts w:hint="eastAsia" w:hAnsi="Times New Roman" w:cs="宋体"/>
          <w:color w:val="auto"/>
          <w:sz w:val="24"/>
          <w:szCs w:val="24"/>
        </w:rPr>
        <w:t>纸幅，其中技术建议书采用标准图框</w:t>
      </w:r>
      <w:r>
        <w:rPr>
          <w:rFonts w:hAnsi="Times New Roman"/>
          <w:color w:val="auto"/>
          <w:sz w:val="24"/>
          <w:szCs w:val="24"/>
        </w:rPr>
        <w:t>A3</w:t>
      </w:r>
      <w:r>
        <w:rPr>
          <w:rFonts w:hint="eastAsia" w:hAnsi="Times New Roman" w:cs="宋体"/>
          <w:color w:val="auto"/>
          <w:sz w:val="24"/>
          <w:szCs w:val="24"/>
        </w:rPr>
        <w:t>幅面，单独装订成册），编制目录并逐页标注连续页码。投标文件不得采用活页夹装订，否则，招标人对由于投标文件装订松散而造成的丢失或其他后果不承担任何责任。装订的其他要求见投标人须知前附表。</w:t>
      </w:r>
    </w:p>
    <w:p>
      <w:pPr>
        <w:autoSpaceDE w:val="0"/>
        <w:autoSpaceDN w:val="0"/>
        <w:snapToGrid w:val="0"/>
        <w:spacing w:line="360" w:lineRule="auto"/>
        <w:jc w:val="left"/>
        <w:rPr>
          <w:rFonts w:ascii="黑体" w:hAnsi="黑体" w:eastAsia="黑体" w:cs="黑体"/>
          <w:b/>
          <w:bCs/>
          <w:color w:val="auto"/>
          <w:sz w:val="30"/>
          <w:szCs w:val="30"/>
        </w:rPr>
      </w:pPr>
      <w:r>
        <w:rPr>
          <w:rFonts w:ascii="黑体" w:hAnsi="黑体" w:eastAsia="黑体" w:cs="黑体"/>
          <w:b/>
          <w:bCs/>
          <w:color w:val="auto"/>
          <w:sz w:val="30"/>
          <w:szCs w:val="30"/>
        </w:rPr>
        <w:t xml:space="preserve">4. </w:t>
      </w:r>
      <w:r>
        <w:rPr>
          <w:rFonts w:hint="eastAsia" w:ascii="黑体" w:hAnsi="黑体" w:eastAsia="黑体" w:cs="黑体"/>
          <w:b/>
          <w:bCs/>
          <w:color w:val="auto"/>
          <w:sz w:val="30"/>
          <w:szCs w:val="30"/>
        </w:rPr>
        <w:t>投标</w:t>
      </w:r>
    </w:p>
    <w:p>
      <w:pPr>
        <w:autoSpaceDE w:val="0"/>
        <w:autoSpaceDN w:val="0"/>
        <w:snapToGrid w:val="0"/>
        <w:spacing w:line="360" w:lineRule="auto"/>
        <w:jc w:val="left"/>
        <w:rPr>
          <w:rFonts w:ascii="黑体" w:hAnsi="Times New Roman" w:eastAsia="黑体" w:cs="黑体"/>
          <w:color w:val="auto"/>
          <w:sz w:val="24"/>
          <w:szCs w:val="24"/>
        </w:rPr>
      </w:pPr>
      <w:r>
        <w:rPr>
          <w:rFonts w:hAnsi="Times New Roman" w:eastAsia="黑体"/>
          <w:color w:val="auto"/>
          <w:sz w:val="24"/>
          <w:szCs w:val="24"/>
        </w:rPr>
        <w:t xml:space="preserve">4.1 </w:t>
      </w:r>
      <w:r>
        <w:rPr>
          <w:rFonts w:hint="eastAsia" w:ascii="黑体" w:hAnsi="Times New Roman" w:eastAsia="黑体" w:cs="黑体"/>
          <w:color w:val="auto"/>
          <w:sz w:val="24"/>
          <w:szCs w:val="24"/>
        </w:rPr>
        <w:t>投标文件的密封和标识</w:t>
      </w:r>
    </w:p>
    <w:p>
      <w:pPr>
        <w:autoSpaceDE w:val="0"/>
        <w:autoSpaceDN w:val="0"/>
        <w:snapToGrid w:val="0"/>
        <w:spacing w:line="360" w:lineRule="auto"/>
        <w:ind w:firstLine="480"/>
        <w:jc w:val="left"/>
        <w:rPr>
          <w:rFonts w:hAnsi="Times New Roman" w:cs="Times New Roman"/>
          <w:color w:val="auto"/>
          <w:sz w:val="24"/>
          <w:szCs w:val="24"/>
        </w:rPr>
      </w:pPr>
      <w:r>
        <w:rPr>
          <w:rFonts w:hAnsi="Times New Roman"/>
          <w:color w:val="auto"/>
          <w:sz w:val="24"/>
          <w:szCs w:val="24"/>
        </w:rPr>
        <w:t xml:space="preserve">4.1.1 </w:t>
      </w:r>
      <w:r>
        <w:rPr>
          <w:rFonts w:hint="eastAsia" w:hAnsi="Times New Roman" w:cs="宋体"/>
          <w:color w:val="auto"/>
          <w:sz w:val="24"/>
          <w:szCs w:val="24"/>
        </w:rPr>
        <w:t>投标文件应采用双信封形式密封。投标文件第一个信封（商务及技术文件）以及第二个信封（报价文件）应单独密封包装。商务文件、技术文件的正本与副本应统一密封在一个封套中。报价文件的正本与副本以及投标文件电子版文件（如需要）应统一密封在另一个封套中。封套应加贴封条，并在封套的封口处加盖密投标人单位章或由投标人的法定代表人或其委托代理人签字。</w:t>
      </w:r>
    </w:p>
    <w:p>
      <w:pPr>
        <w:autoSpaceDE w:val="0"/>
        <w:autoSpaceDN w:val="0"/>
        <w:snapToGrid w:val="0"/>
        <w:spacing w:line="360" w:lineRule="auto"/>
        <w:ind w:firstLine="480"/>
        <w:jc w:val="left"/>
        <w:rPr>
          <w:rFonts w:hAnsi="Times New Roman" w:cs="Times New Roman"/>
          <w:color w:val="auto"/>
          <w:sz w:val="24"/>
          <w:szCs w:val="24"/>
        </w:rPr>
      </w:pPr>
      <w:r>
        <w:rPr>
          <w:rFonts w:hint="eastAsia" w:hAnsi="Times New Roman" w:cs="宋体"/>
          <w:color w:val="auto"/>
          <w:sz w:val="24"/>
          <w:szCs w:val="24"/>
        </w:rPr>
        <w:t>采用银行保函形式提交投标保证金的，银行保函原件应密封在单独的封套中。</w:t>
      </w:r>
    </w:p>
    <w:p>
      <w:pPr>
        <w:autoSpaceDE w:val="0"/>
        <w:autoSpaceDN w:val="0"/>
        <w:snapToGrid w:val="0"/>
        <w:spacing w:line="360" w:lineRule="auto"/>
        <w:ind w:firstLine="480"/>
        <w:jc w:val="left"/>
        <w:rPr>
          <w:rFonts w:hAnsi="Times New Roman" w:cs="Times New Roman"/>
          <w:color w:val="auto"/>
          <w:sz w:val="24"/>
          <w:szCs w:val="24"/>
        </w:rPr>
      </w:pPr>
      <w:r>
        <w:rPr>
          <w:rFonts w:hAnsi="Times New Roman"/>
          <w:color w:val="auto"/>
          <w:sz w:val="24"/>
          <w:szCs w:val="24"/>
        </w:rPr>
        <w:t xml:space="preserve">4.1.2 </w:t>
      </w:r>
      <w:r>
        <w:rPr>
          <w:rFonts w:hint="eastAsia" w:hAnsi="Times New Roman" w:cs="宋体"/>
          <w:color w:val="auto"/>
          <w:sz w:val="24"/>
          <w:szCs w:val="24"/>
        </w:rPr>
        <w:t>投标文件第一个信封（商务及技术文件）、第二个信封（报价文件）以及银行保函封套上应写明的内容见投标人须知前附表。</w:t>
      </w:r>
    </w:p>
    <w:p>
      <w:pPr>
        <w:autoSpaceDE w:val="0"/>
        <w:autoSpaceDN w:val="0"/>
        <w:snapToGrid w:val="0"/>
        <w:spacing w:line="360" w:lineRule="auto"/>
        <w:ind w:firstLine="480"/>
        <w:jc w:val="left"/>
        <w:rPr>
          <w:rFonts w:hAnsi="Times New Roman"/>
          <w:color w:val="auto"/>
          <w:sz w:val="24"/>
          <w:szCs w:val="24"/>
        </w:rPr>
      </w:pPr>
      <w:r>
        <w:rPr>
          <w:rFonts w:hAnsi="Times New Roman"/>
          <w:color w:val="auto"/>
          <w:sz w:val="24"/>
          <w:szCs w:val="24"/>
        </w:rPr>
        <w:t xml:space="preserve">4.1.3 </w:t>
      </w:r>
      <w:r>
        <w:rPr>
          <w:rFonts w:hint="eastAsia" w:hAnsi="Times New Roman" w:cs="宋体"/>
          <w:color w:val="auto"/>
          <w:sz w:val="24"/>
          <w:szCs w:val="24"/>
        </w:rPr>
        <w:t>未按本章第</w:t>
      </w:r>
      <w:r>
        <w:rPr>
          <w:rFonts w:hAnsi="Times New Roman"/>
          <w:color w:val="auto"/>
          <w:sz w:val="24"/>
          <w:szCs w:val="24"/>
        </w:rPr>
        <w:t>4.1.1</w:t>
      </w:r>
      <w:r>
        <w:rPr>
          <w:rFonts w:hint="eastAsia" w:hAnsi="Times New Roman" w:cs="宋体"/>
          <w:color w:val="auto"/>
          <w:sz w:val="24"/>
          <w:szCs w:val="24"/>
        </w:rPr>
        <w:t>项要求密封的投标文件，招标人将予以拒收。</w:t>
      </w:r>
    </w:p>
    <w:p>
      <w:pPr>
        <w:autoSpaceDE w:val="0"/>
        <w:autoSpaceDN w:val="0"/>
        <w:snapToGrid w:val="0"/>
        <w:spacing w:line="360" w:lineRule="auto"/>
        <w:jc w:val="left"/>
        <w:rPr>
          <w:rFonts w:ascii="黑体" w:hAnsi="Times New Roman" w:eastAsia="黑体" w:cs="黑体"/>
          <w:color w:val="auto"/>
          <w:sz w:val="24"/>
          <w:szCs w:val="24"/>
        </w:rPr>
      </w:pPr>
      <w:r>
        <w:rPr>
          <w:rFonts w:hAnsi="Times New Roman"/>
          <w:color w:val="auto"/>
          <w:sz w:val="24"/>
          <w:szCs w:val="24"/>
        </w:rPr>
        <w:t xml:space="preserve">4.2 </w:t>
      </w:r>
      <w:r>
        <w:rPr>
          <w:rFonts w:hint="eastAsia" w:ascii="黑体" w:hAnsi="Times New Roman" w:eastAsia="黑体" w:cs="黑体"/>
          <w:color w:val="auto"/>
          <w:sz w:val="24"/>
          <w:szCs w:val="24"/>
        </w:rPr>
        <w:t>投标文件的递交</w:t>
      </w:r>
    </w:p>
    <w:p>
      <w:pPr>
        <w:autoSpaceDE w:val="0"/>
        <w:autoSpaceDN w:val="0"/>
        <w:snapToGrid w:val="0"/>
        <w:spacing w:line="360" w:lineRule="auto"/>
        <w:ind w:firstLine="480"/>
        <w:jc w:val="left"/>
        <w:rPr>
          <w:rFonts w:hAnsi="Times New Roman"/>
          <w:color w:val="auto"/>
          <w:sz w:val="24"/>
          <w:szCs w:val="24"/>
        </w:rPr>
      </w:pPr>
      <w:r>
        <w:rPr>
          <w:rFonts w:hAnsi="Times New Roman" w:eastAsia="黑体"/>
          <w:color w:val="auto"/>
          <w:sz w:val="24"/>
          <w:szCs w:val="24"/>
        </w:rPr>
        <w:t xml:space="preserve">4.2.1 </w:t>
      </w:r>
      <w:r>
        <w:rPr>
          <w:rFonts w:hint="eastAsia" w:hAnsi="Times New Roman" w:cs="宋体"/>
          <w:color w:val="auto"/>
          <w:sz w:val="24"/>
          <w:szCs w:val="24"/>
        </w:rPr>
        <w:t>投标人应在第一章“招标公告”或“投标邀请书”规定的投标截止时间前递交投标文件。</w:t>
      </w:r>
    </w:p>
    <w:p>
      <w:pPr>
        <w:autoSpaceDE w:val="0"/>
        <w:autoSpaceDN w:val="0"/>
        <w:snapToGrid w:val="0"/>
        <w:spacing w:line="360" w:lineRule="auto"/>
        <w:ind w:firstLine="480"/>
        <w:jc w:val="left"/>
        <w:rPr>
          <w:rFonts w:hAnsi="Times New Roman"/>
          <w:color w:val="auto"/>
          <w:sz w:val="24"/>
          <w:szCs w:val="24"/>
        </w:rPr>
      </w:pPr>
      <w:r>
        <w:rPr>
          <w:rFonts w:hAnsi="Times New Roman"/>
          <w:color w:val="auto"/>
          <w:sz w:val="24"/>
          <w:szCs w:val="24"/>
        </w:rPr>
        <w:t xml:space="preserve">4.2.2 </w:t>
      </w:r>
      <w:r>
        <w:rPr>
          <w:rFonts w:hint="eastAsia" w:hAnsi="Times New Roman" w:cs="宋体"/>
          <w:color w:val="auto"/>
          <w:sz w:val="24"/>
          <w:szCs w:val="24"/>
        </w:rPr>
        <w:t>投标人递交投标文件的地点：见第一章“招标公告”或“投标邀请书”。</w:t>
      </w:r>
    </w:p>
    <w:p>
      <w:pPr>
        <w:autoSpaceDE w:val="0"/>
        <w:autoSpaceDN w:val="0"/>
        <w:snapToGrid w:val="0"/>
        <w:spacing w:line="360" w:lineRule="auto"/>
        <w:ind w:firstLine="480"/>
        <w:jc w:val="left"/>
        <w:rPr>
          <w:rFonts w:hAnsi="Times New Roman" w:cs="Times New Roman"/>
          <w:color w:val="auto"/>
          <w:sz w:val="24"/>
          <w:szCs w:val="24"/>
        </w:rPr>
      </w:pPr>
      <w:r>
        <w:rPr>
          <w:rFonts w:hAnsi="Times New Roman"/>
          <w:color w:val="auto"/>
          <w:sz w:val="24"/>
          <w:szCs w:val="24"/>
        </w:rPr>
        <w:t xml:space="preserve">4.2.3 </w:t>
      </w:r>
      <w:r>
        <w:rPr>
          <w:rFonts w:hint="eastAsia" w:cs="宋体"/>
          <w:color w:val="auto"/>
          <w:sz w:val="24"/>
          <w:szCs w:val="24"/>
        </w:rPr>
        <w:t>除</w:t>
      </w:r>
      <w:r>
        <w:rPr>
          <w:rFonts w:hint="eastAsia" w:hAnsi="Times New Roman" w:cs="宋体"/>
          <w:color w:val="auto"/>
          <w:sz w:val="24"/>
          <w:szCs w:val="24"/>
        </w:rPr>
        <w:t>投标人须知前附表另有规定外，投标人所递交的投标文件不予退还。投标人少于</w:t>
      </w:r>
      <w:r>
        <w:rPr>
          <w:rFonts w:hAnsi="Times New Roman"/>
          <w:color w:val="auto"/>
          <w:sz w:val="24"/>
          <w:szCs w:val="24"/>
        </w:rPr>
        <w:t>3</w:t>
      </w:r>
      <w:r>
        <w:rPr>
          <w:rFonts w:hint="eastAsia" w:hAnsi="Times New Roman" w:cs="宋体"/>
          <w:color w:val="auto"/>
          <w:sz w:val="24"/>
          <w:szCs w:val="24"/>
        </w:rPr>
        <w:t>个的，投标文件当场退还给投标人。</w:t>
      </w:r>
    </w:p>
    <w:p>
      <w:pPr>
        <w:autoSpaceDE w:val="0"/>
        <w:autoSpaceDN w:val="0"/>
        <w:snapToGrid w:val="0"/>
        <w:spacing w:line="360" w:lineRule="auto"/>
        <w:ind w:firstLine="480"/>
        <w:jc w:val="left"/>
        <w:rPr>
          <w:rFonts w:hAnsi="Times New Roman"/>
          <w:color w:val="auto"/>
          <w:sz w:val="24"/>
          <w:szCs w:val="24"/>
        </w:rPr>
      </w:pPr>
      <w:r>
        <w:rPr>
          <w:rFonts w:hAnsi="Times New Roman"/>
          <w:color w:val="auto"/>
          <w:sz w:val="24"/>
          <w:szCs w:val="24"/>
        </w:rPr>
        <w:t xml:space="preserve">4.2.4 </w:t>
      </w:r>
      <w:r>
        <w:rPr>
          <w:rFonts w:hint="eastAsia" w:hAnsi="Times New Roman" w:cs="宋体"/>
          <w:color w:val="auto"/>
          <w:sz w:val="24"/>
          <w:szCs w:val="24"/>
        </w:rPr>
        <w:t>招标人收到投标文件后，向投标人出具签收凭证。</w:t>
      </w:r>
    </w:p>
    <w:p>
      <w:pPr>
        <w:autoSpaceDE w:val="0"/>
        <w:autoSpaceDN w:val="0"/>
        <w:snapToGrid w:val="0"/>
        <w:spacing w:line="360" w:lineRule="auto"/>
        <w:ind w:firstLine="480"/>
        <w:jc w:val="left"/>
        <w:rPr>
          <w:rFonts w:hAnsi="Times New Roman"/>
          <w:color w:val="auto"/>
          <w:sz w:val="24"/>
          <w:szCs w:val="24"/>
        </w:rPr>
      </w:pPr>
      <w:r>
        <w:rPr>
          <w:rFonts w:hAnsi="Times New Roman"/>
          <w:color w:val="auto"/>
          <w:sz w:val="24"/>
          <w:szCs w:val="24"/>
        </w:rPr>
        <w:t xml:space="preserve">4.2.5 </w:t>
      </w:r>
      <w:r>
        <w:rPr>
          <w:rFonts w:hint="eastAsia" w:hAnsi="Times New Roman" w:cs="宋体"/>
          <w:color w:val="auto"/>
          <w:sz w:val="24"/>
          <w:szCs w:val="24"/>
        </w:rPr>
        <w:t>逾期送达的或未送达指定地点的投标文件，招标人将予以拒收。</w:t>
      </w:r>
    </w:p>
    <w:p>
      <w:pPr>
        <w:autoSpaceDE w:val="0"/>
        <w:autoSpaceDN w:val="0"/>
        <w:snapToGrid w:val="0"/>
        <w:spacing w:line="360" w:lineRule="auto"/>
        <w:jc w:val="left"/>
        <w:rPr>
          <w:rFonts w:ascii="黑体" w:hAnsi="Times New Roman" w:eastAsia="黑体" w:cs="黑体"/>
          <w:color w:val="auto"/>
          <w:sz w:val="24"/>
          <w:szCs w:val="24"/>
        </w:rPr>
      </w:pPr>
      <w:r>
        <w:rPr>
          <w:rFonts w:hAnsi="Times New Roman"/>
          <w:color w:val="auto"/>
          <w:sz w:val="24"/>
          <w:szCs w:val="24"/>
        </w:rPr>
        <w:t xml:space="preserve">4.3 </w:t>
      </w:r>
      <w:r>
        <w:rPr>
          <w:rFonts w:hint="eastAsia" w:ascii="黑体" w:hAnsi="Times New Roman" w:eastAsia="黑体" w:cs="黑体"/>
          <w:color w:val="auto"/>
          <w:sz w:val="24"/>
          <w:szCs w:val="24"/>
        </w:rPr>
        <w:t>投标文件的修改与撤回</w:t>
      </w:r>
    </w:p>
    <w:p>
      <w:pPr>
        <w:autoSpaceDE w:val="0"/>
        <w:autoSpaceDN w:val="0"/>
        <w:snapToGrid w:val="0"/>
        <w:spacing w:line="360" w:lineRule="auto"/>
        <w:ind w:firstLine="480"/>
        <w:jc w:val="left"/>
        <w:rPr>
          <w:rFonts w:hAnsi="Times New Roman"/>
          <w:color w:val="auto"/>
          <w:sz w:val="24"/>
          <w:szCs w:val="24"/>
        </w:rPr>
      </w:pPr>
      <w:r>
        <w:rPr>
          <w:rFonts w:hAnsi="Times New Roman" w:eastAsia="黑体"/>
          <w:color w:val="auto"/>
          <w:sz w:val="24"/>
          <w:szCs w:val="24"/>
        </w:rPr>
        <w:t xml:space="preserve">4.3.1 </w:t>
      </w:r>
      <w:r>
        <w:rPr>
          <w:rFonts w:hint="eastAsia" w:hAnsi="Times New Roman" w:cs="宋体"/>
          <w:color w:val="auto"/>
          <w:sz w:val="24"/>
          <w:szCs w:val="24"/>
        </w:rPr>
        <w:t>在本章第</w:t>
      </w:r>
      <w:r>
        <w:rPr>
          <w:rFonts w:hAnsi="Times New Roman"/>
          <w:color w:val="auto"/>
          <w:sz w:val="24"/>
          <w:szCs w:val="24"/>
        </w:rPr>
        <w:t>4.2.1</w:t>
      </w:r>
      <w:r>
        <w:rPr>
          <w:rFonts w:hint="eastAsia" w:hAnsi="Times New Roman" w:cs="宋体"/>
          <w:color w:val="auto"/>
          <w:sz w:val="24"/>
          <w:szCs w:val="24"/>
        </w:rPr>
        <w:t>项规定的投标截止时间前，投标人可以修改或撤回已递交的投标文件，但应以书面形式通知招标人。</w:t>
      </w:r>
    </w:p>
    <w:p>
      <w:pPr>
        <w:autoSpaceDE w:val="0"/>
        <w:autoSpaceDN w:val="0"/>
        <w:snapToGrid w:val="0"/>
        <w:spacing w:line="360" w:lineRule="auto"/>
        <w:ind w:firstLine="480"/>
        <w:jc w:val="left"/>
        <w:rPr>
          <w:rFonts w:hAnsi="Times New Roman"/>
          <w:color w:val="auto"/>
          <w:sz w:val="24"/>
          <w:szCs w:val="24"/>
        </w:rPr>
      </w:pPr>
      <w:r>
        <w:rPr>
          <w:rFonts w:hAnsi="Times New Roman"/>
          <w:color w:val="auto"/>
          <w:sz w:val="24"/>
          <w:szCs w:val="24"/>
        </w:rPr>
        <w:t xml:space="preserve">4.3.2 </w:t>
      </w:r>
      <w:r>
        <w:rPr>
          <w:rFonts w:hint="eastAsia" w:hAnsi="Times New Roman" w:cs="宋体"/>
          <w:color w:val="auto"/>
          <w:sz w:val="24"/>
          <w:szCs w:val="24"/>
        </w:rPr>
        <w:t>投标人修改或撤回已递交投标文件的书面通知应按照本章第</w:t>
      </w:r>
      <w:r>
        <w:rPr>
          <w:rFonts w:hAnsi="Times New Roman"/>
          <w:color w:val="auto"/>
          <w:sz w:val="24"/>
          <w:szCs w:val="24"/>
        </w:rPr>
        <w:t>3.7.3</w:t>
      </w:r>
      <w:r>
        <w:rPr>
          <w:rFonts w:hint="eastAsia" w:hAnsi="Times New Roman" w:cs="宋体"/>
          <w:color w:val="auto"/>
          <w:sz w:val="24"/>
          <w:szCs w:val="24"/>
        </w:rPr>
        <w:t>项的要求签字或盖章。招标人收到书面通知后，向投标人出具签收凭证。</w:t>
      </w:r>
    </w:p>
    <w:p>
      <w:pPr>
        <w:autoSpaceDE w:val="0"/>
        <w:autoSpaceDN w:val="0"/>
        <w:snapToGrid w:val="0"/>
        <w:spacing w:line="360" w:lineRule="auto"/>
        <w:ind w:firstLine="480"/>
        <w:jc w:val="left"/>
        <w:rPr>
          <w:rFonts w:hAnsi="Times New Roman" w:cs="Times New Roman"/>
          <w:color w:val="auto"/>
          <w:sz w:val="24"/>
          <w:szCs w:val="24"/>
        </w:rPr>
      </w:pPr>
      <w:r>
        <w:rPr>
          <w:rFonts w:hAnsi="Times New Roman"/>
          <w:color w:val="auto"/>
          <w:sz w:val="24"/>
          <w:szCs w:val="24"/>
        </w:rPr>
        <w:t xml:space="preserve">4.3.3 </w:t>
      </w:r>
      <w:r>
        <w:rPr>
          <w:rFonts w:hint="eastAsia" w:hAnsi="Times New Roman" w:cs="宋体"/>
          <w:color w:val="auto"/>
          <w:sz w:val="24"/>
          <w:szCs w:val="24"/>
        </w:rPr>
        <w:t>投标人撤回投标文件的，招标人自收到投标人书面撤回通知之日起</w:t>
      </w:r>
      <w:r>
        <w:rPr>
          <w:rFonts w:hAnsi="Times New Roman"/>
          <w:color w:val="auto"/>
          <w:sz w:val="24"/>
          <w:szCs w:val="24"/>
        </w:rPr>
        <w:t>5</w:t>
      </w:r>
      <w:r>
        <w:rPr>
          <w:rFonts w:hint="eastAsia" w:hAnsi="Times New Roman" w:cs="宋体"/>
          <w:color w:val="auto"/>
          <w:sz w:val="24"/>
          <w:szCs w:val="24"/>
        </w:rPr>
        <w:t>日内退还已收取的投标保证金。</w:t>
      </w:r>
    </w:p>
    <w:p>
      <w:pPr>
        <w:autoSpaceDE w:val="0"/>
        <w:autoSpaceDN w:val="0"/>
        <w:snapToGrid w:val="0"/>
        <w:spacing w:line="360" w:lineRule="auto"/>
        <w:ind w:firstLine="480"/>
        <w:jc w:val="left"/>
        <w:rPr>
          <w:rFonts w:hAnsi="Times New Roman"/>
          <w:color w:val="auto"/>
          <w:sz w:val="24"/>
          <w:szCs w:val="24"/>
        </w:rPr>
      </w:pPr>
      <w:r>
        <w:rPr>
          <w:rFonts w:hAnsi="Times New Roman"/>
          <w:color w:val="auto"/>
          <w:sz w:val="24"/>
          <w:szCs w:val="24"/>
        </w:rPr>
        <w:t xml:space="preserve">4.3.4 </w:t>
      </w:r>
      <w:r>
        <w:rPr>
          <w:rFonts w:hint="eastAsia" w:hAnsi="Times New Roman" w:cs="宋体"/>
          <w:color w:val="auto"/>
          <w:sz w:val="24"/>
          <w:szCs w:val="24"/>
        </w:rPr>
        <w:t>修改的内容为投标文件的组成部分。修改的投标文件应按照本章第</w:t>
      </w:r>
      <w:r>
        <w:rPr>
          <w:rFonts w:hAnsi="Times New Roman"/>
          <w:color w:val="auto"/>
          <w:sz w:val="24"/>
          <w:szCs w:val="24"/>
        </w:rPr>
        <w:t>3</w:t>
      </w:r>
      <w:r>
        <w:rPr>
          <w:rFonts w:hint="eastAsia" w:hAnsi="Times New Roman" w:cs="宋体"/>
          <w:color w:val="auto"/>
          <w:sz w:val="24"/>
          <w:szCs w:val="24"/>
        </w:rPr>
        <w:t>条、第</w:t>
      </w:r>
      <w:r>
        <w:rPr>
          <w:rFonts w:hAnsi="Times New Roman"/>
          <w:color w:val="auto"/>
          <w:sz w:val="24"/>
          <w:szCs w:val="24"/>
        </w:rPr>
        <w:t>4</w:t>
      </w:r>
      <w:r>
        <w:rPr>
          <w:rFonts w:hint="eastAsia" w:hAnsi="Times New Roman" w:cs="宋体"/>
          <w:color w:val="auto"/>
          <w:sz w:val="24"/>
          <w:szCs w:val="24"/>
        </w:rPr>
        <w:t>条的规定进行编制、密封、标记和递交，并标明“修改”字样。</w:t>
      </w:r>
    </w:p>
    <w:p>
      <w:pPr>
        <w:autoSpaceDE w:val="0"/>
        <w:autoSpaceDN w:val="0"/>
        <w:snapToGrid w:val="0"/>
        <w:spacing w:line="360" w:lineRule="auto"/>
        <w:jc w:val="left"/>
        <w:rPr>
          <w:rFonts w:ascii="黑体" w:hAnsi="黑体" w:eastAsia="黑体" w:cs="黑体"/>
          <w:b/>
          <w:bCs/>
          <w:color w:val="auto"/>
          <w:sz w:val="30"/>
          <w:szCs w:val="30"/>
        </w:rPr>
      </w:pPr>
      <w:r>
        <w:rPr>
          <w:rFonts w:ascii="黑体" w:hAnsi="黑体" w:eastAsia="黑体" w:cs="黑体"/>
          <w:b/>
          <w:bCs/>
          <w:color w:val="auto"/>
          <w:sz w:val="30"/>
          <w:szCs w:val="30"/>
        </w:rPr>
        <w:t xml:space="preserve">5. </w:t>
      </w:r>
      <w:r>
        <w:rPr>
          <w:rFonts w:hint="eastAsia" w:ascii="黑体" w:hAnsi="黑体" w:eastAsia="黑体" w:cs="黑体"/>
          <w:b/>
          <w:bCs/>
          <w:color w:val="auto"/>
          <w:sz w:val="30"/>
          <w:szCs w:val="30"/>
        </w:rPr>
        <w:t>开标</w:t>
      </w:r>
    </w:p>
    <w:p>
      <w:pPr>
        <w:autoSpaceDE w:val="0"/>
        <w:autoSpaceDN w:val="0"/>
        <w:snapToGrid w:val="0"/>
        <w:spacing w:line="360" w:lineRule="auto"/>
        <w:jc w:val="left"/>
        <w:rPr>
          <w:rFonts w:ascii="黑体" w:hAnsi="Times New Roman" w:eastAsia="黑体" w:cs="黑体"/>
          <w:color w:val="auto"/>
          <w:sz w:val="24"/>
          <w:szCs w:val="24"/>
        </w:rPr>
      </w:pPr>
      <w:r>
        <w:rPr>
          <w:rFonts w:hAnsi="Times New Roman"/>
          <w:color w:val="auto"/>
          <w:sz w:val="24"/>
          <w:szCs w:val="24"/>
        </w:rPr>
        <w:t xml:space="preserve">5.1 </w:t>
      </w:r>
      <w:r>
        <w:rPr>
          <w:rFonts w:hint="eastAsia" w:ascii="黑体" w:hAnsi="Times New Roman" w:eastAsia="黑体" w:cs="黑体"/>
          <w:color w:val="auto"/>
          <w:sz w:val="24"/>
          <w:szCs w:val="24"/>
        </w:rPr>
        <w:t>开标时间和地点</w:t>
      </w:r>
    </w:p>
    <w:p>
      <w:pPr>
        <w:autoSpaceDE w:val="0"/>
        <w:autoSpaceDN w:val="0"/>
        <w:snapToGrid w:val="0"/>
        <w:spacing w:line="360" w:lineRule="auto"/>
        <w:ind w:firstLine="480"/>
        <w:jc w:val="left"/>
        <w:rPr>
          <w:rFonts w:hAnsi="Times New Roman" w:cs="Times New Roman"/>
          <w:color w:val="auto"/>
          <w:sz w:val="24"/>
          <w:szCs w:val="24"/>
        </w:rPr>
      </w:pPr>
      <w:r>
        <w:rPr>
          <w:rFonts w:hint="eastAsia" w:hAnsi="Times New Roman" w:cs="宋体"/>
          <w:color w:val="auto"/>
          <w:sz w:val="24"/>
          <w:szCs w:val="24"/>
        </w:rPr>
        <w:t>招标人在本章第</w:t>
      </w:r>
      <w:r>
        <w:rPr>
          <w:rFonts w:hAnsi="Times New Roman"/>
          <w:color w:val="auto"/>
          <w:sz w:val="24"/>
          <w:szCs w:val="24"/>
        </w:rPr>
        <w:t>4.2.1</w:t>
      </w:r>
      <w:r>
        <w:rPr>
          <w:rFonts w:hint="eastAsia" w:hAnsi="Times New Roman" w:cs="宋体"/>
          <w:color w:val="auto"/>
          <w:sz w:val="24"/>
          <w:szCs w:val="24"/>
        </w:rPr>
        <w:t>项规定的投标截止时间（开标时间）和投标人须知前附表规定的地点对收到的投标文件第一个信封（商务及技术文件）公开开标，并邀请所有投标人的法定代表人或其委托代理人准时参加。</w:t>
      </w:r>
    </w:p>
    <w:p>
      <w:pPr>
        <w:autoSpaceDE w:val="0"/>
        <w:autoSpaceDN w:val="0"/>
        <w:snapToGrid w:val="0"/>
        <w:spacing w:line="360" w:lineRule="auto"/>
        <w:ind w:firstLine="480"/>
        <w:jc w:val="left"/>
        <w:rPr>
          <w:rFonts w:hAnsi="Times New Roman" w:cs="Times New Roman"/>
          <w:color w:val="auto"/>
          <w:sz w:val="24"/>
          <w:szCs w:val="24"/>
        </w:rPr>
      </w:pPr>
      <w:r>
        <w:rPr>
          <w:rFonts w:hint="eastAsia" w:hAnsi="Times New Roman" w:cs="宋体"/>
          <w:color w:val="auto"/>
          <w:sz w:val="24"/>
          <w:szCs w:val="24"/>
        </w:rPr>
        <w:t>招标人在投标人须知前附表规定的时间和地点对第二个信封（报价文件）公开开标，并邀请所有投标人的法定代表人或其委托代理人准时参加。</w:t>
      </w:r>
    </w:p>
    <w:p>
      <w:pPr>
        <w:autoSpaceDE w:val="0"/>
        <w:autoSpaceDN w:val="0"/>
        <w:snapToGrid w:val="0"/>
        <w:spacing w:line="360" w:lineRule="auto"/>
        <w:ind w:firstLine="480"/>
        <w:jc w:val="left"/>
        <w:rPr>
          <w:rFonts w:hAnsi="Times New Roman"/>
          <w:color w:val="auto"/>
          <w:sz w:val="24"/>
          <w:szCs w:val="24"/>
        </w:rPr>
      </w:pPr>
      <w:r>
        <w:rPr>
          <w:rFonts w:hint="eastAsia" w:hAnsi="Times New Roman" w:cs="宋体"/>
          <w:color w:val="auto"/>
          <w:sz w:val="24"/>
          <w:szCs w:val="24"/>
        </w:rPr>
        <w:t>投标人若未派法定代表人或委托代理人出席开标活动，视为该投标人默认开标结果。</w:t>
      </w:r>
    </w:p>
    <w:p>
      <w:pPr>
        <w:autoSpaceDE w:val="0"/>
        <w:autoSpaceDN w:val="0"/>
        <w:snapToGrid w:val="0"/>
        <w:spacing w:line="360" w:lineRule="auto"/>
        <w:jc w:val="left"/>
        <w:rPr>
          <w:rFonts w:ascii="黑体" w:hAnsi="Times New Roman" w:eastAsia="黑体" w:cs="黑体"/>
          <w:color w:val="auto"/>
          <w:sz w:val="24"/>
          <w:szCs w:val="24"/>
        </w:rPr>
      </w:pPr>
      <w:r>
        <w:rPr>
          <w:rFonts w:hAnsi="Times New Roman"/>
          <w:color w:val="auto"/>
          <w:sz w:val="24"/>
          <w:szCs w:val="24"/>
        </w:rPr>
        <w:t xml:space="preserve">5.2 </w:t>
      </w:r>
      <w:r>
        <w:rPr>
          <w:rFonts w:hint="eastAsia" w:ascii="黑体" w:hAnsi="Times New Roman" w:eastAsia="黑体" w:cs="黑体"/>
          <w:color w:val="auto"/>
          <w:sz w:val="24"/>
          <w:szCs w:val="24"/>
        </w:rPr>
        <w:t>开标程序</w:t>
      </w:r>
    </w:p>
    <w:p>
      <w:pPr>
        <w:autoSpaceDE w:val="0"/>
        <w:autoSpaceDN w:val="0"/>
        <w:snapToGrid w:val="0"/>
        <w:spacing w:line="360" w:lineRule="auto"/>
        <w:ind w:firstLine="480"/>
        <w:jc w:val="left"/>
        <w:rPr>
          <w:rFonts w:hAnsi="Times New Roman"/>
          <w:color w:val="auto"/>
          <w:sz w:val="24"/>
          <w:szCs w:val="24"/>
        </w:rPr>
      </w:pPr>
      <w:r>
        <w:rPr>
          <w:rFonts w:hAnsi="Times New Roman" w:eastAsia="黑体"/>
          <w:color w:val="auto"/>
          <w:sz w:val="24"/>
          <w:szCs w:val="24"/>
        </w:rPr>
        <w:t>5.2.1</w:t>
      </w:r>
      <w:r>
        <w:rPr>
          <w:rFonts w:hint="eastAsia" w:hAnsi="Times New Roman" w:cs="宋体"/>
          <w:color w:val="auto"/>
          <w:sz w:val="24"/>
          <w:szCs w:val="24"/>
        </w:rPr>
        <w:t>主持人按下列程序对投标文件第一个信封（商务及技术文件）进行开标：</w:t>
      </w:r>
    </w:p>
    <w:p>
      <w:pPr>
        <w:autoSpaceDE w:val="0"/>
        <w:autoSpaceDN w:val="0"/>
        <w:snapToGrid w:val="0"/>
        <w:spacing w:line="360" w:lineRule="auto"/>
        <w:ind w:firstLine="480"/>
        <w:jc w:val="left"/>
        <w:rPr>
          <w:rFonts w:hAnsi="Times New Roman"/>
          <w:color w:val="auto"/>
          <w:sz w:val="24"/>
          <w:szCs w:val="24"/>
        </w:rPr>
      </w:pPr>
      <w:r>
        <w:rPr>
          <w:rFonts w:hint="eastAsia" w:hAnsi="Times New Roman" w:cs="宋体"/>
          <w:color w:val="auto"/>
          <w:sz w:val="24"/>
          <w:szCs w:val="24"/>
        </w:rPr>
        <w:t>（</w:t>
      </w:r>
      <w:r>
        <w:rPr>
          <w:rFonts w:hAnsi="Times New Roman"/>
          <w:color w:val="auto"/>
          <w:sz w:val="24"/>
          <w:szCs w:val="24"/>
        </w:rPr>
        <w:t>1</w:t>
      </w:r>
      <w:r>
        <w:rPr>
          <w:rFonts w:hint="eastAsia" w:hAnsi="Times New Roman" w:cs="宋体"/>
          <w:color w:val="auto"/>
          <w:sz w:val="24"/>
          <w:szCs w:val="24"/>
        </w:rPr>
        <w:t>）宣布开标纪律；</w:t>
      </w:r>
    </w:p>
    <w:p>
      <w:pPr>
        <w:autoSpaceDE w:val="0"/>
        <w:autoSpaceDN w:val="0"/>
        <w:snapToGrid w:val="0"/>
        <w:spacing w:line="360" w:lineRule="auto"/>
        <w:ind w:firstLine="480"/>
        <w:jc w:val="left"/>
        <w:rPr>
          <w:rFonts w:hAnsi="Times New Roman"/>
          <w:color w:val="auto"/>
          <w:sz w:val="24"/>
          <w:szCs w:val="24"/>
        </w:rPr>
      </w:pPr>
      <w:r>
        <w:rPr>
          <w:rFonts w:hint="eastAsia" w:hAnsi="Times New Roman" w:cs="宋体"/>
          <w:color w:val="auto"/>
          <w:sz w:val="24"/>
          <w:szCs w:val="24"/>
        </w:rPr>
        <w:t>（</w:t>
      </w:r>
      <w:r>
        <w:rPr>
          <w:rFonts w:hAnsi="Times New Roman"/>
          <w:color w:val="auto"/>
          <w:sz w:val="24"/>
          <w:szCs w:val="24"/>
        </w:rPr>
        <w:t>2</w:t>
      </w:r>
      <w:r>
        <w:rPr>
          <w:rFonts w:hint="eastAsia" w:hAnsi="Times New Roman" w:cs="宋体"/>
          <w:color w:val="auto"/>
          <w:sz w:val="24"/>
          <w:szCs w:val="24"/>
        </w:rPr>
        <w:t>）公布在投标截止时间前递交投标文件的投标人数量；</w:t>
      </w:r>
    </w:p>
    <w:p>
      <w:pPr>
        <w:autoSpaceDE w:val="0"/>
        <w:autoSpaceDN w:val="0"/>
        <w:snapToGrid w:val="0"/>
        <w:spacing w:line="360" w:lineRule="auto"/>
        <w:ind w:firstLine="480"/>
        <w:jc w:val="left"/>
        <w:rPr>
          <w:rFonts w:hAnsi="Times New Roman"/>
          <w:color w:val="auto"/>
          <w:sz w:val="24"/>
          <w:szCs w:val="24"/>
        </w:rPr>
      </w:pPr>
      <w:r>
        <w:rPr>
          <w:rFonts w:hint="eastAsia" w:hAnsi="Times New Roman" w:cs="宋体"/>
          <w:color w:val="auto"/>
          <w:sz w:val="24"/>
          <w:szCs w:val="24"/>
        </w:rPr>
        <w:t>（</w:t>
      </w:r>
      <w:r>
        <w:rPr>
          <w:rFonts w:hAnsi="Times New Roman"/>
          <w:color w:val="auto"/>
          <w:sz w:val="24"/>
          <w:szCs w:val="24"/>
        </w:rPr>
        <w:t>3</w:t>
      </w:r>
      <w:r>
        <w:rPr>
          <w:rFonts w:hint="eastAsia" w:hAnsi="Times New Roman" w:cs="宋体"/>
          <w:color w:val="auto"/>
          <w:sz w:val="24"/>
          <w:szCs w:val="24"/>
        </w:rPr>
        <w:t>）宣布开标人、唱标人、记录人等有关人员姓名；</w:t>
      </w:r>
    </w:p>
    <w:p>
      <w:pPr>
        <w:autoSpaceDE w:val="0"/>
        <w:autoSpaceDN w:val="0"/>
        <w:snapToGrid w:val="0"/>
        <w:spacing w:line="360" w:lineRule="auto"/>
        <w:ind w:firstLine="480"/>
        <w:jc w:val="left"/>
        <w:rPr>
          <w:rFonts w:hAnsi="Times New Roman"/>
          <w:color w:val="auto"/>
          <w:sz w:val="24"/>
          <w:szCs w:val="24"/>
        </w:rPr>
      </w:pPr>
      <w:r>
        <w:rPr>
          <w:rFonts w:hint="eastAsia" w:hAnsi="Times New Roman" w:cs="宋体"/>
          <w:color w:val="auto"/>
          <w:sz w:val="24"/>
          <w:szCs w:val="24"/>
        </w:rPr>
        <w:t>（</w:t>
      </w:r>
      <w:r>
        <w:rPr>
          <w:rFonts w:hAnsi="Times New Roman"/>
          <w:color w:val="auto"/>
          <w:sz w:val="24"/>
          <w:szCs w:val="24"/>
        </w:rPr>
        <w:t>4</w:t>
      </w:r>
      <w:r>
        <w:rPr>
          <w:rFonts w:hint="eastAsia" w:hAnsi="Times New Roman" w:cs="宋体"/>
          <w:color w:val="auto"/>
          <w:sz w:val="24"/>
          <w:szCs w:val="24"/>
        </w:rPr>
        <w:t>）按照投标人须知前附表规定由投标人推选的代表检查投标文件的密封情况；</w:t>
      </w:r>
    </w:p>
    <w:p>
      <w:pPr>
        <w:autoSpaceDE w:val="0"/>
        <w:autoSpaceDN w:val="0"/>
        <w:snapToGrid w:val="0"/>
        <w:spacing w:line="360" w:lineRule="auto"/>
        <w:ind w:firstLine="480"/>
        <w:jc w:val="left"/>
        <w:rPr>
          <w:rFonts w:ascii="宋体" w:hAnsi="Times New Roman" w:cs="宋体"/>
          <w:color w:val="auto"/>
          <w:kern w:val="0"/>
          <w:sz w:val="24"/>
          <w:szCs w:val="24"/>
        </w:rPr>
      </w:pPr>
      <w:r>
        <w:rPr>
          <w:rFonts w:hint="eastAsia" w:ascii="Times New Roman" w:hAnsi="Times New Roman" w:cs="宋体"/>
          <w:color w:val="auto"/>
          <w:kern w:val="0"/>
          <w:sz w:val="24"/>
          <w:szCs w:val="24"/>
        </w:rPr>
        <w:t>（</w:t>
      </w:r>
      <w:r>
        <w:rPr>
          <w:rFonts w:ascii="Times New Roman" w:hAnsi="Times New Roman" w:cs="Times New Roman"/>
          <w:color w:val="auto"/>
          <w:kern w:val="0"/>
          <w:sz w:val="24"/>
          <w:szCs w:val="24"/>
        </w:rPr>
        <w:t>5</w:t>
      </w:r>
      <w:r>
        <w:rPr>
          <w:rFonts w:hint="eastAsia" w:ascii="Times New Roman" w:hAnsi="Times New Roman" w:cs="宋体"/>
          <w:color w:val="auto"/>
          <w:kern w:val="0"/>
          <w:sz w:val="24"/>
          <w:szCs w:val="24"/>
        </w:rPr>
        <w:t>）</w:t>
      </w:r>
      <w:r>
        <w:rPr>
          <w:rFonts w:hint="eastAsia" w:ascii="宋体" w:hAnsi="Times New Roman" w:cs="宋体"/>
          <w:color w:val="auto"/>
          <w:kern w:val="0"/>
          <w:sz w:val="24"/>
          <w:szCs w:val="24"/>
        </w:rPr>
        <w:t>按照投标人须知前附表规定的开标顺序当众开标，公布标段名称、投标人名称、投标保证金的递交情况、勘察设计服务期限及其他内容，并记录在案；</w:t>
      </w:r>
    </w:p>
    <w:p>
      <w:pPr>
        <w:autoSpaceDE w:val="0"/>
        <w:autoSpaceDN w:val="0"/>
        <w:snapToGrid w:val="0"/>
        <w:spacing w:line="360" w:lineRule="auto"/>
        <w:ind w:firstLine="480"/>
        <w:jc w:val="left"/>
        <w:rPr>
          <w:rFonts w:hAnsi="Times New Roman"/>
          <w:color w:val="auto"/>
          <w:sz w:val="24"/>
          <w:szCs w:val="24"/>
        </w:rPr>
      </w:pPr>
      <w:r>
        <w:rPr>
          <w:rFonts w:hint="eastAsia" w:hAnsi="Times New Roman" w:cs="宋体"/>
          <w:color w:val="auto"/>
          <w:sz w:val="24"/>
          <w:szCs w:val="24"/>
        </w:rPr>
        <w:t>（</w:t>
      </w:r>
      <w:r>
        <w:rPr>
          <w:rFonts w:hAnsi="Times New Roman"/>
          <w:color w:val="auto"/>
          <w:sz w:val="24"/>
          <w:szCs w:val="24"/>
        </w:rPr>
        <w:t>6</w:t>
      </w:r>
      <w:r>
        <w:rPr>
          <w:rFonts w:hint="eastAsia" w:hAnsi="Times New Roman" w:cs="宋体"/>
          <w:color w:val="auto"/>
          <w:sz w:val="24"/>
          <w:szCs w:val="24"/>
        </w:rPr>
        <w:t>）投标人代表、招标人代表、记录人等有关人员在开标记录上签字确认；</w:t>
      </w:r>
    </w:p>
    <w:p>
      <w:pPr>
        <w:autoSpaceDE w:val="0"/>
        <w:autoSpaceDN w:val="0"/>
        <w:snapToGrid w:val="0"/>
        <w:spacing w:line="360" w:lineRule="auto"/>
        <w:ind w:firstLine="480"/>
        <w:jc w:val="left"/>
        <w:rPr>
          <w:rFonts w:hAnsi="Times New Roman"/>
          <w:color w:val="auto"/>
          <w:sz w:val="24"/>
          <w:szCs w:val="24"/>
        </w:rPr>
      </w:pPr>
      <w:r>
        <w:rPr>
          <w:rFonts w:hint="eastAsia" w:hAnsi="Times New Roman" w:cs="宋体"/>
          <w:color w:val="auto"/>
          <w:sz w:val="24"/>
          <w:szCs w:val="24"/>
        </w:rPr>
        <w:t>（</w:t>
      </w:r>
      <w:r>
        <w:rPr>
          <w:rFonts w:hAnsi="Times New Roman"/>
          <w:color w:val="auto"/>
          <w:sz w:val="24"/>
          <w:szCs w:val="24"/>
        </w:rPr>
        <w:t>7</w:t>
      </w:r>
      <w:r>
        <w:rPr>
          <w:rFonts w:hint="eastAsia" w:hAnsi="Times New Roman" w:cs="宋体"/>
          <w:color w:val="auto"/>
          <w:sz w:val="24"/>
          <w:szCs w:val="24"/>
        </w:rPr>
        <w:t>）开标结束。</w:t>
      </w:r>
    </w:p>
    <w:p>
      <w:pPr>
        <w:autoSpaceDE w:val="0"/>
        <w:autoSpaceDN w:val="0"/>
        <w:snapToGrid w:val="0"/>
        <w:spacing w:line="360" w:lineRule="auto"/>
        <w:ind w:firstLine="480"/>
        <w:jc w:val="left"/>
        <w:rPr>
          <w:rFonts w:hAnsi="Times New Roman" w:cs="Times New Roman"/>
          <w:color w:val="auto"/>
          <w:sz w:val="24"/>
          <w:szCs w:val="24"/>
        </w:rPr>
      </w:pPr>
      <w:r>
        <w:rPr>
          <w:rFonts w:hAnsi="Times New Roman"/>
          <w:color w:val="auto"/>
          <w:sz w:val="24"/>
          <w:szCs w:val="24"/>
        </w:rPr>
        <w:t xml:space="preserve">5.2.2 </w:t>
      </w:r>
      <w:r>
        <w:rPr>
          <w:rFonts w:hint="eastAsia" w:hAnsi="Times New Roman" w:cs="宋体"/>
          <w:color w:val="auto"/>
          <w:sz w:val="24"/>
          <w:szCs w:val="24"/>
        </w:rPr>
        <w:t>在投标文件第一个信封（商务及技术文件）开标现场，投标文件第二个信封（报价文件）不予开封，由招标人密封保存。</w:t>
      </w:r>
    </w:p>
    <w:p>
      <w:pPr>
        <w:autoSpaceDE w:val="0"/>
        <w:autoSpaceDN w:val="0"/>
        <w:snapToGrid w:val="0"/>
        <w:spacing w:line="360" w:lineRule="auto"/>
        <w:ind w:firstLine="480"/>
        <w:jc w:val="left"/>
        <w:rPr>
          <w:rFonts w:hAnsi="Times New Roman" w:cs="Times New Roman"/>
          <w:color w:val="auto"/>
          <w:sz w:val="24"/>
          <w:szCs w:val="24"/>
        </w:rPr>
      </w:pPr>
      <w:r>
        <w:rPr>
          <w:rFonts w:hAnsi="Times New Roman"/>
          <w:color w:val="auto"/>
          <w:sz w:val="24"/>
          <w:szCs w:val="24"/>
        </w:rPr>
        <w:t xml:space="preserve">5.2.3 </w:t>
      </w:r>
      <w:r>
        <w:rPr>
          <w:rFonts w:hint="eastAsia" w:hAnsi="Times New Roman" w:cs="宋体"/>
          <w:color w:val="auto"/>
          <w:sz w:val="24"/>
          <w:szCs w:val="24"/>
        </w:rPr>
        <w:t>招标人将按照本章第</w:t>
      </w:r>
      <w:r>
        <w:rPr>
          <w:rFonts w:hAnsi="Times New Roman"/>
          <w:color w:val="auto"/>
          <w:sz w:val="24"/>
          <w:szCs w:val="24"/>
        </w:rPr>
        <w:t>5.1</w:t>
      </w:r>
      <w:r>
        <w:rPr>
          <w:rFonts w:hint="eastAsia" w:hAnsi="Times New Roman" w:cs="宋体"/>
          <w:color w:val="auto"/>
          <w:sz w:val="24"/>
          <w:szCs w:val="24"/>
        </w:rPr>
        <w:t>款规定的时间和地点对投标文件第二个信封（报价文件）进行开标。主持人按下列程序进行开标：</w:t>
      </w:r>
    </w:p>
    <w:p>
      <w:pPr>
        <w:autoSpaceDE w:val="0"/>
        <w:autoSpaceDN w:val="0"/>
        <w:snapToGrid w:val="0"/>
        <w:spacing w:line="360" w:lineRule="auto"/>
        <w:ind w:firstLine="480"/>
        <w:jc w:val="left"/>
        <w:rPr>
          <w:rFonts w:hAnsi="Times New Roman" w:cs="Times New Roman"/>
          <w:color w:val="auto"/>
          <w:sz w:val="24"/>
          <w:szCs w:val="24"/>
        </w:rPr>
      </w:pPr>
      <w:r>
        <w:rPr>
          <w:rFonts w:hint="eastAsia" w:hAnsi="Times New Roman" w:cs="宋体"/>
          <w:color w:val="auto"/>
          <w:sz w:val="24"/>
          <w:szCs w:val="24"/>
        </w:rPr>
        <w:t>（</w:t>
      </w:r>
      <w:r>
        <w:rPr>
          <w:rFonts w:hAnsi="Times New Roman"/>
          <w:color w:val="auto"/>
          <w:sz w:val="24"/>
          <w:szCs w:val="24"/>
        </w:rPr>
        <w:t>1</w:t>
      </w:r>
      <w:r>
        <w:rPr>
          <w:rFonts w:hint="eastAsia" w:hAnsi="Times New Roman" w:cs="宋体"/>
          <w:color w:val="auto"/>
          <w:sz w:val="24"/>
          <w:szCs w:val="24"/>
        </w:rPr>
        <w:t>）宣布开标纪律；</w:t>
      </w:r>
    </w:p>
    <w:p>
      <w:pPr>
        <w:autoSpaceDE w:val="0"/>
        <w:autoSpaceDN w:val="0"/>
        <w:snapToGrid w:val="0"/>
        <w:spacing w:line="360" w:lineRule="auto"/>
        <w:ind w:firstLine="600"/>
        <w:jc w:val="left"/>
        <w:rPr>
          <w:rFonts w:hAnsi="Times New Roman" w:cs="Times New Roman"/>
          <w:color w:val="auto"/>
          <w:sz w:val="24"/>
          <w:szCs w:val="24"/>
        </w:rPr>
      </w:pPr>
      <w:r>
        <w:rPr>
          <w:rFonts w:hint="eastAsia" w:hAnsi="Times New Roman" w:cs="宋体"/>
          <w:color w:val="auto"/>
          <w:sz w:val="24"/>
          <w:szCs w:val="24"/>
        </w:rPr>
        <w:t>（</w:t>
      </w:r>
      <w:r>
        <w:rPr>
          <w:rFonts w:hAnsi="Times New Roman"/>
          <w:color w:val="auto"/>
          <w:sz w:val="24"/>
          <w:szCs w:val="24"/>
        </w:rPr>
        <w:t>2</w:t>
      </w:r>
      <w:r>
        <w:rPr>
          <w:rFonts w:hint="eastAsia" w:hAnsi="Times New Roman" w:cs="宋体"/>
          <w:color w:val="auto"/>
          <w:sz w:val="24"/>
          <w:szCs w:val="24"/>
        </w:rPr>
        <w:t>）当众拆开投标文件第一个信封（商务及技术文件）评审结果的密封袋，宣布通过投标文件第一个信封（商务及技术文件）评审的投标人名单；</w:t>
      </w:r>
    </w:p>
    <w:p>
      <w:pPr>
        <w:autoSpaceDE w:val="0"/>
        <w:autoSpaceDN w:val="0"/>
        <w:snapToGrid w:val="0"/>
        <w:spacing w:line="360" w:lineRule="auto"/>
        <w:ind w:firstLine="600"/>
        <w:jc w:val="left"/>
        <w:rPr>
          <w:rFonts w:hAnsi="Times New Roman" w:cs="Times New Roman"/>
          <w:color w:val="auto"/>
          <w:sz w:val="24"/>
          <w:szCs w:val="24"/>
        </w:rPr>
      </w:pPr>
      <w:r>
        <w:rPr>
          <w:rFonts w:hint="eastAsia" w:hAnsi="Times New Roman" w:cs="宋体"/>
          <w:color w:val="auto"/>
          <w:sz w:val="24"/>
          <w:szCs w:val="24"/>
        </w:rPr>
        <w:t>（</w:t>
      </w:r>
      <w:r>
        <w:rPr>
          <w:rFonts w:hAnsi="Times New Roman"/>
          <w:color w:val="auto"/>
          <w:sz w:val="24"/>
          <w:szCs w:val="24"/>
        </w:rPr>
        <w:t>3</w:t>
      </w:r>
      <w:r>
        <w:rPr>
          <w:rFonts w:hint="eastAsia" w:hAnsi="Times New Roman" w:cs="宋体"/>
          <w:color w:val="auto"/>
          <w:sz w:val="24"/>
          <w:szCs w:val="24"/>
        </w:rPr>
        <w:t>）宣布开标人、唱标人、记录人等有关人员姓名：</w:t>
      </w:r>
    </w:p>
    <w:p>
      <w:pPr>
        <w:autoSpaceDE w:val="0"/>
        <w:autoSpaceDN w:val="0"/>
        <w:snapToGrid w:val="0"/>
        <w:spacing w:line="360" w:lineRule="auto"/>
        <w:ind w:firstLine="600"/>
        <w:jc w:val="left"/>
        <w:rPr>
          <w:rFonts w:hAnsi="Times New Roman"/>
          <w:color w:val="auto"/>
          <w:sz w:val="24"/>
          <w:szCs w:val="24"/>
        </w:rPr>
      </w:pPr>
      <w:r>
        <w:rPr>
          <w:rFonts w:hint="eastAsia" w:hAnsi="Times New Roman" w:cs="宋体"/>
          <w:color w:val="auto"/>
          <w:sz w:val="24"/>
          <w:szCs w:val="24"/>
        </w:rPr>
        <w:t>（</w:t>
      </w:r>
      <w:r>
        <w:rPr>
          <w:rFonts w:hAnsi="Times New Roman"/>
          <w:color w:val="auto"/>
          <w:sz w:val="24"/>
          <w:szCs w:val="24"/>
        </w:rPr>
        <w:t>4</w:t>
      </w:r>
      <w:r>
        <w:rPr>
          <w:rFonts w:hint="eastAsia" w:hAnsi="Times New Roman" w:cs="宋体"/>
          <w:color w:val="auto"/>
          <w:sz w:val="24"/>
          <w:szCs w:val="24"/>
        </w:rPr>
        <w:t>）按照投标人须知前附表规定由投标人推选的代表检查投标文件的密封情况；</w:t>
      </w:r>
    </w:p>
    <w:p>
      <w:pPr>
        <w:autoSpaceDE w:val="0"/>
        <w:autoSpaceDN w:val="0"/>
        <w:snapToGrid w:val="0"/>
        <w:spacing w:line="360" w:lineRule="auto"/>
        <w:ind w:firstLine="600"/>
        <w:jc w:val="left"/>
        <w:rPr>
          <w:rFonts w:hAnsi="Times New Roman" w:cs="Times New Roman"/>
          <w:color w:val="auto"/>
          <w:sz w:val="24"/>
          <w:szCs w:val="24"/>
        </w:rPr>
      </w:pPr>
      <w:r>
        <w:rPr>
          <w:rFonts w:hint="eastAsia" w:hAnsi="Times New Roman" w:cs="宋体"/>
          <w:color w:val="auto"/>
          <w:sz w:val="24"/>
          <w:szCs w:val="24"/>
        </w:rPr>
        <w:t>（</w:t>
      </w:r>
      <w:r>
        <w:rPr>
          <w:rFonts w:hAnsi="Times New Roman"/>
          <w:color w:val="auto"/>
          <w:sz w:val="24"/>
          <w:szCs w:val="24"/>
        </w:rPr>
        <w:t>5</w:t>
      </w:r>
      <w:r>
        <w:rPr>
          <w:rFonts w:hint="eastAsia" w:hAnsi="Times New Roman" w:cs="宋体"/>
          <w:color w:val="auto"/>
          <w:sz w:val="24"/>
          <w:szCs w:val="24"/>
        </w:rPr>
        <w:t>）按照投标人须知前附表规定的开标顺序当众开标，开标人只拆封通过投标文件第一个信封（商务及技术文件）评审的投标文件第二个信封（报价文件），公布标段名称、投标人名称、投标报价及其他内容，并记录在案；</w:t>
      </w:r>
    </w:p>
    <w:p>
      <w:pPr>
        <w:autoSpaceDE w:val="0"/>
        <w:autoSpaceDN w:val="0"/>
        <w:snapToGrid w:val="0"/>
        <w:spacing w:line="360" w:lineRule="auto"/>
        <w:ind w:firstLine="480"/>
        <w:jc w:val="left"/>
        <w:rPr>
          <w:rFonts w:hAnsi="Times New Roman" w:cs="Times New Roman"/>
          <w:color w:val="auto"/>
          <w:sz w:val="24"/>
          <w:szCs w:val="24"/>
        </w:rPr>
      </w:pPr>
      <w:r>
        <w:rPr>
          <w:rFonts w:hint="eastAsia" w:hAnsi="Times New Roman" w:cs="宋体"/>
          <w:color w:val="auto"/>
          <w:sz w:val="24"/>
          <w:szCs w:val="24"/>
        </w:rPr>
        <w:t>（</w:t>
      </w:r>
      <w:r>
        <w:rPr>
          <w:rFonts w:hAnsi="Times New Roman"/>
          <w:color w:val="auto"/>
          <w:sz w:val="24"/>
          <w:szCs w:val="24"/>
        </w:rPr>
        <w:t>6</w:t>
      </w:r>
      <w:r>
        <w:rPr>
          <w:rFonts w:hint="eastAsia" w:hAnsi="Times New Roman" w:cs="宋体"/>
          <w:color w:val="auto"/>
          <w:sz w:val="24"/>
          <w:szCs w:val="24"/>
        </w:rPr>
        <w:t>）计算并宣布评标基准价；</w:t>
      </w:r>
    </w:p>
    <w:p>
      <w:pPr>
        <w:autoSpaceDE w:val="0"/>
        <w:autoSpaceDN w:val="0"/>
        <w:snapToGrid w:val="0"/>
        <w:spacing w:line="360" w:lineRule="auto"/>
        <w:ind w:firstLine="480"/>
        <w:jc w:val="left"/>
        <w:rPr>
          <w:rFonts w:hAnsi="Times New Roman" w:cs="Times New Roman"/>
          <w:color w:val="auto"/>
          <w:sz w:val="24"/>
          <w:szCs w:val="24"/>
        </w:rPr>
      </w:pPr>
      <w:r>
        <w:rPr>
          <w:rFonts w:hint="eastAsia" w:hAnsi="Times New Roman" w:cs="宋体"/>
          <w:color w:val="auto"/>
          <w:sz w:val="24"/>
          <w:szCs w:val="24"/>
        </w:rPr>
        <w:t>（</w:t>
      </w:r>
      <w:r>
        <w:rPr>
          <w:rFonts w:hAnsi="Times New Roman"/>
          <w:color w:val="auto"/>
          <w:sz w:val="24"/>
          <w:szCs w:val="24"/>
        </w:rPr>
        <w:t>7</w:t>
      </w:r>
      <w:r>
        <w:rPr>
          <w:rFonts w:hint="eastAsia" w:hAnsi="Times New Roman" w:cs="宋体"/>
          <w:color w:val="auto"/>
          <w:sz w:val="24"/>
          <w:szCs w:val="24"/>
        </w:rPr>
        <w:t>）将未通过投标文件第一个信封（商务及技术文件）评审的投标文件第二个信封（报价文件）退还给投标人；</w:t>
      </w:r>
    </w:p>
    <w:p>
      <w:pPr>
        <w:autoSpaceDE w:val="0"/>
        <w:autoSpaceDN w:val="0"/>
        <w:snapToGrid w:val="0"/>
        <w:spacing w:line="360" w:lineRule="auto"/>
        <w:ind w:firstLine="480"/>
        <w:jc w:val="left"/>
        <w:rPr>
          <w:rFonts w:hAnsi="Times New Roman"/>
          <w:color w:val="auto"/>
          <w:sz w:val="24"/>
          <w:szCs w:val="24"/>
        </w:rPr>
      </w:pPr>
      <w:r>
        <w:rPr>
          <w:rFonts w:hint="eastAsia" w:hAnsi="Times New Roman" w:cs="宋体"/>
          <w:color w:val="auto"/>
          <w:sz w:val="24"/>
          <w:szCs w:val="24"/>
        </w:rPr>
        <w:t>（</w:t>
      </w:r>
      <w:r>
        <w:rPr>
          <w:rFonts w:hAnsi="Times New Roman"/>
          <w:color w:val="auto"/>
          <w:sz w:val="24"/>
          <w:szCs w:val="24"/>
        </w:rPr>
        <w:t>8</w:t>
      </w:r>
      <w:r>
        <w:rPr>
          <w:rFonts w:hint="eastAsia" w:hAnsi="Times New Roman" w:cs="宋体"/>
          <w:color w:val="auto"/>
          <w:sz w:val="24"/>
          <w:szCs w:val="24"/>
        </w:rPr>
        <w:t>）投标人代表、招标人代表、记录人等有关人员在开标记录上签字确认；</w:t>
      </w:r>
    </w:p>
    <w:p>
      <w:pPr>
        <w:autoSpaceDE w:val="0"/>
        <w:autoSpaceDN w:val="0"/>
        <w:snapToGrid w:val="0"/>
        <w:spacing w:line="360" w:lineRule="auto"/>
        <w:ind w:firstLine="480"/>
        <w:jc w:val="left"/>
        <w:rPr>
          <w:rFonts w:hAnsi="Times New Roman"/>
          <w:color w:val="auto"/>
          <w:sz w:val="24"/>
          <w:szCs w:val="24"/>
        </w:rPr>
      </w:pPr>
      <w:r>
        <w:rPr>
          <w:rFonts w:hint="eastAsia" w:hAnsi="Times New Roman" w:cs="宋体"/>
          <w:color w:val="auto"/>
          <w:sz w:val="24"/>
          <w:szCs w:val="24"/>
        </w:rPr>
        <w:t>（</w:t>
      </w:r>
      <w:r>
        <w:rPr>
          <w:rFonts w:hAnsi="Times New Roman"/>
          <w:color w:val="auto"/>
          <w:sz w:val="24"/>
          <w:szCs w:val="24"/>
        </w:rPr>
        <w:t>9</w:t>
      </w:r>
      <w:r>
        <w:rPr>
          <w:rFonts w:hint="eastAsia" w:hAnsi="Times New Roman" w:cs="宋体"/>
          <w:color w:val="auto"/>
          <w:sz w:val="24"/>
          <w:szCs w:val="24"/>
        </w:rPr>
        <w:t>）开标会议结束。</w:t>
      </w:r>
    </w:p>
    <w:p>
      <w:pPr>
        <w:autoSpaceDE w:val="0"/>
        <w:autoSpaceDN w:val="0"/>
        <w:snapToGrid w:val="0"/>
        <w:spacing w:line="360" w:lineRule="auto"/>
        <w:ind w:firstLine="600"/>
        <w:jc w:val="left"/>
        <w:rPr>
          <w:rFonts w:hAnsi="Times New Roman" w:cs="Times New Roman"/>
          <w:color w:val="auto"/>
          <w:sz w:val="24"/>
          <w:szCs w:val="24"/>
        </w:rPr>
      </w:pPr>
      <w:r>
        <w:rPr>
          <w:rFonts w:hAnsi="Times New Roman"/>
          <w:color w:val="auto"/>
          <w:sz w:val="24"/>
          <w:szCs w:val="24"/>
        </w:rPr>
        <w:t xml:space="preserve"> 5.2.4 </w:t>
      </w:r>
      <w:r>
        <w:rPr>
          <w:rFonts w:hint="eastAsia" w:hAnsi="Times New Roman" w:cs="宋体"/>
          <w:color w:val="auto"/>
          <w:sz w:val="24"/>
          <w:szCs w:val="24"/>
        </w:rPr>
        <w:t>在投标文件第二个信封（报价文件）开标现场，招标人将按第三章“评标办法”规定的原则计算并宣布评标基准价。若招标人发现投标人出现以下任一情况，其投标报价将不再参加评标基准价的计算：</w:t>
      </w:r>
    </w:p>
    <w:p>
      <w:pPr>
        <w:autoSpaceDE w:val="0"/>
        <w:autoSpaceDN w:val="0"/>
        <w:snapToGrid w:val="0"/>
        <w:spacing w:line="360" w:lineRule="auto"/>
        <w:ind w:firstLine="600"/>
        <w:jc w:val="left"/>
        <w:rPr>
          <w:rFonts w:hAnsi="Times New Roman" w:cs="Times New Roman"/>
          <w:color w:val="auto"/>
          <w:sz w:val="24"/>
          <w:szCs w:val="24"/>
        </w:rPr>
      </w:pPr>
      <w:r>
        <w:rPr>
          <w:rFonts w:hint="eastAsia" w:hAnsi="Times New Roman" w:cs="宋体"/>
          <w:color w:val="auto"/>
          <w:sz w:val="24"/>
          <w:szCs w:val="24"/>
        </w:rPr>
        <w:t>（</w:t>
      </w:r>
      <w:r>
        <w:rPr>
          <w:rFonts w:hAnsi="Times New Roman"/>
          <w:color w:val="auto"/>
          <w:sz w:val="24"/>
          <w:szCs w:val="24"/>
        </w:rPr>
        <w:t>1</w:t>
      </w:r>
      <w:r>
        <w:rPr>
          <w:rFonts w:hint="eastAsia" w:hAnsi="Times New Roman" w:cs="宋体"/>
          <w:color w:val="auto"/>
          <w:sz w:val="24"/>
          <w:szCs w:val="24"/>
        </w:rPr>
        <w:t>）未在投价函上填写投标总价；</w:t>
      </w:r>
    </w:p>
    <w:p>
      <w:pPr>
        <w:autoSpaceDE w:val="0"/>
        <w:autoSpaceDN w:val="0"/>
        <w:snapToGrid w:val="0"/>
        <w:spacing w:line="360" w:lineRule="auto"/>
        <w:ind w:firstLine="600"/>
        <w:jc w:val="left"/>
        <w:rPr>
          <w:rFonts w:hAnsi="Times New Roman" w:cs="Times New Roman"/>
          <w:color w:val="auto"/>
          <w:sz w:val="24"/>
          <w:szCs w:val="24"/>
        </w:rPr>
      </w:pPr>
      <w:r>
        <w:rPr>
          <w:rFonts w:hint="eastAsia" w:hAnsi="Times New Roman" w:cs="宋体"/>
          <w:color w:val="auto"/>
          <w:sz w:val="24"/>
          <w:szCs w:val="24"/>
        </w:rPr>
        <w:t>（</w:t>
      </w:r>
      <w:r>
        <w:rPr>
          <w:rFonts w:hAnsi="Times New Roman"/>
          <w:color w:val="auto"/>
          <w:sz w:val="24"/>
          <w:szCs w:val="24"/>
        </w:rPr>
        <w:t>2</w:t>
      </w:r>
      <w:r>
        <w:rPr>
          <w:rFonts w:hint="eastAsia" w:hAnsi="Times New Roman" w:cs="宋体"/>
          <w:color w:val="auto"/>
          <w:sz w:val="24"/>
          <w:szCs w:val="24"/>
        </w:rPr>
        <w:t>）投标报价超出招标人公布的最高投标限价（如有）；</w:t>
      </w:r>
    </w:p>
    <w:p>
      <w:pPr>
        <w:autoSpaceDE w:val="0"/>
        <w:autoSpaceDN w:val="0"/>
        <w:snapToGrid w:val="0"/>
        <w:spacing w:line="360" w:lineRule="auto"/>
        <w:ind w:firstLine="600"/>
        <w:jc w:val="left"/>
        <w:rPr>
          <w:rFonts w:hAnsi="Times New Roman" w:cs="Times New Roman"/>
          <w:color w:val="auto"/>
          <w:sz w:val="24"/>
          <w:szCs w:val="24"/>
        </w:rPr>
      </w:pPr>
      <w:r>
        <w:rPr>
          <w:rFonts w:hint="eastAsia" w:hAnsi="Times New Roman" w:cs="宋体"/>
          <w:color w:val="auto"/>
          <w:sz w:val="24"/>
          <w:szCs w:val="24"/>
        </w:rPr>
        <w:t>（</w:t>
      </w:r>
      <w:r>
        <w:rPr>
          <w:rFonts w:hAnsi="Times New Roman"/>
          <w:color w:val="auto"/>
          <w:sz w:val="24"/>
          <w:szCs w:val="24"/>
        </w:rPr>
        <w:t>3</w:t>
      </w:r>
      <w:r>
        <w:rPr>
          <w:rFonts w:hint="eastAsia" w:hAnsi="Times New Roman" w:cs="宋体"/>
          <w:color w:val="auto"/>
          <w:sz w:val="24"/>
          <w:szCs w:val="24"/>
        </w:rPr>
        <w:t>）投标报价的大写金额无法确定具体数值；</w:t>
      </w:r>
    </w:p>
    <w:p>
      <w:pPr>
        <w:autoSpaceDE w:val="0"/>
        <w:autoSpaceDN w:val="0"/>
        <w:snapToGrid w:val="0"/>
        <w:spacing w:line="360" w:lineRule="auto"/>
        <w:ind w:firstLine="600"/>
        <w:jc w:val="left"/>
        <w:rPr>
          <w:rFonts w:hAnsi="Times New Roman" w:cs="Times New Roman"/>
          <w:color w:val="auto"/>
          <w:sz w:val="24"/>
          <w:szCs w:val="24"/>
        </w:rPr>
      </w:pPr>
      <w:r>
        <w:rPr>
          <w:rFonts w:hint="eastAsia" w:hAnsi="Times New Roman" w:cs="宋体"/>
          <w:color w:val="auto"/>
          <w:sz w:val="24"/>
          <w:szCs w:val="24"/>
        </w:rPr>
        <w:t>（</w:t>
      </w:r>
      <w:r>
        <w:rPr>
          <w:rFonts w:hAnsi="Times New Roman"/>
          <w:color w:val="auto"/>
          <w:sz w:val="24"/>
          <w:szCs w:val="24"/>
        </w:rPr>
        <w:t>4</w:t>
      </w:r>
      <w:r>
        <w:rPr>
          <w:rFonts w:hint="eastAsia" w:hAnsi="Times New Roman" w:cs="宋体"/>
          <w:color w:val="auto"/>
          <w:sz w:val="24"/>
          <w:szCs w:val="24"/>
        </w:rPr>
        <w:t>）投标函上填写的标段号与投标文件封套上标记的标段号不一致。</w:t>
      </w:r>
    </w:p>
    <w:p>
      <w:pPr>
        <w:autoSpaceDE w:val="0"/>
        <w:autoSpaceDN w:val="0"/>
        <w:snapToGrid w:val="0"/>
        <w:spacing w:line="360" w:lineRule="auto"/>
        <w:ind w:firstLine="600"/>
        <w:jc w:val="left"/>
        <w:rPr>
          <w:rFonts w:hAnsi="Times New Roman" w:cs="Times New Roman"/>
          <w:color w:val="auto"/>
          <w:sz w:val="24"/>
          <w:szCs w:val="24"/>
        </w:rPr>
      </w:pPr>
      <w:r>
        <w:rPr>
          <w:rFonts w:hint="eastAsia" w:hAnsi="Times New Roman" w:cs="宋体"/>
          <w:color w:val="auto"/>
          <w:sz w:val="24"/>
          <w:szCs w:val="24"/>
        </w:rPr>
        <w:t>如果投标人认为某一标段的评标基准价计算有误，有权在开标现场提出，经招标人当场核实确认之后，可重新宣布评标基准价。开标现场宣布的评标基准价除计算有误经评标委员会修正外，在整个评标期间保持不变，不随任何因素发生变化。</w:t>
      </w:r>
    </w:p>
    <w:p>
      <w:pPr>
        <w:autoSpaceDE w:val="0"/>
        <w:autoSpaceDN w:val="0"/>
        <w:snapToGrid w:val="0"/>
        <w:spacing w:line="360" w:lineRule="auto"/>
        <w:ind w:firstLine="600"/>
        <w:jc w:val="left"/>
        <w:rPr>
          <w:rFonts w:hAnsi="Times New Roman" w:cs="Times New Roman"/>
          <w:color w:val="auto"/>
          <w:sz w:val="24"/>
          <w:szCs w:val="24"/>
        </w:rPr>
      </w:pPr>
      <w:r>
        <w:rPr>
          <w:rFonts w:hAnsi="Times New Roman"/>
          <w:color w:val="auto"/>
          <w:sz w:val="24"/>
          <w:szCs w:val="24"/>
        </w:rPr>
        <w:t xml:space="preserve">5.2.5 </w:t>
      </w:r>
      <w:r>
        <w:rPr>
          <w:rFonts w:hint="eastAsia" w:hAnsi="Times New Roman" w:cs="宋体"/>
          <w:color w:val="auto"/>
          <w:sz w:val="24"/>
          <w:szCs w:val="24"/>
        </w:rPr>
        <w:t>在投标文件第一个信封（商务及技术文件）或第二个信封（报价文件）开标过程中，若招标人宣读的内容与投标文件不符，投标人有权在开标现场提出疑问，经招标人当场核查确认之后，可重新宣读其投标文件。若投标人现场未提出疑问，则认为投标人已确认招标人宣读的内容。</w:t>
      </w:r>
    </w:p>
    <w:p>
      <w:pPr>
        <w:autoSpaceDE w:val="0"/>
        <w:autoSpaceDN w:val="0"/>
        <w:snapToGrid w:val="0"/>
        <w:spacing w:line="360" w:lineRule="auto"/>
        <w:jc w:val="left"/>
        <w:rPr>
          <w:rFonts w:ascii="黑体" w:hAnsi="黑体" w:eastAsia="黑体" w:cs="Times New Roman"/>
          <w:color w:val="auto"/>
          <w:sz w:val="24"/>
          <w:szCs w:val="24"/>
        </w:rPr>
      </w:pPr>
      <w:r>
        <w:rPr>
          <w:rFonts w:hAnsi="Times New Roman"/>
          <w:color w:val="auto"/>
          <w:sz w:val="24"/>
          <w:szCs w:val="24"/>
        </w:rPr>
        <w:t xml:space="preserve">5.3 </w:t>
      </w:r>
      <w:r>
        <w:rPr>
          <w:rFonts w:hint="eastAsia" w:ascii="黑体" w:hAnsi="黑体" w:eastAsia="黑体" w:cs="黑体"/>
          <w:color w:val="auto"/>
          <w:sz w:val="24"/>
          <w:szCs w:val="24"/>
        </w:rPr>
        <w:t>开标异议</w:t>
      </w:r>
    </w:p>
    <w:p>
      <w:pPr>
        <w:autoSpaceDE w:val="0"/>
        <w:autoSpaceDN w:val="0"/>
        <w:snapToGrid w:val="0"/>
        <w:spacing w:line="360" w:lineRule="auto"/>
        <w:ind w:firstLine="480"/>
        <w:jc w:val="left"/>
        <w:rPr>
          <w:rFonts w:cs="Times New Roman"/>
          <w:color w:val="auto"/>
          <w:sz w:val="24"/>
          <w:szCs w:val="24"/>
        </w:rPr>
      </w:pPr>
      <w:r>
        <w:rPr>
          <w:rFonts w:hint="eastAsia" w:cs="宋体"/>
          <w:color w:val="auto"/>
          <w:sz w:val="24"/>
          <w:szCs w:val="24"/>
        </w:rPr>
        <w:t>投标人对开标有异议的，应在开标现场提出，招标人当场作出答复，并制作记录，有异议的投标人代表、招标人代表、记录人等有关人员在记录上签字确认。</w:t>
      </w:r>
    </w:p>
    <w:p>
      <w:pPr>
        <w:autoSpaceDE w:val="0"/>
        <w:autoSpaceDN w:val="0"/>
        <w:snapToGrid w:val="0"/>
        <w:spacing w:line="360" w:lineRule="auto"/>
        <w:jc w:val="left"/>
        <w:rPr>
          <w:rFonts w:ascii="黑体" w:hAnsi="黑体" w:eastAsia="黑体" w:cs="黑体"/>
          <w:b/>
          <w:bCs/>
          <w:color w:val="auto"/>
          <w:sz w:val="30"/>
          <w:szCs w:val="30"/>
        </w:rPr>
      </w:pPr>
      <w:r>
        <w:rPr>
          <w:rFonts w:ascii="黑体" w:hAnsi="黑体" w:eastAsia="黑体" w:cs="黑体"/>
          <w:b/>
          <w:bCs/>
          <w:color w:val="auto"/>
          <w:sz w:val="30"/>
          <w:szCs w:val="30"/>
        </w:rPr>
        <w:t xml:space="preserve">6. </w:t>
      </w:r>
      <w:r>
        <w:rPr>
          <w:rFonts w:hint="eastAsia" w:ascii="黑体" w:hAnsi="黑体" w:eastAsia="黑体" w:cs="黑体"/>
          <w:b/>
          <w:bCs/>
          <w:color w:val="auto"/>
          <w:sz w:val="30"/>
          <w:szCs w:val="30"/>
        </w:rPr>
        <w:t>评标</w:t>
      </w:r>
    </w:p>
    <w:p>
      <w:pPr>
        <w:autoSpaceDE w:val="0"/>
        <w:autoSpaceDN w:val="0"/>
        <w:snapToGrid w:val="0"/>
        <w:spacing w:line="360" w:lineRule="auto"/>
        <w:jc w:val="left"/>
        <w:rPr>
          <w:rFonts w:ascii="黑体" w:hAnsi="Times New Roman" w:eastAsia="黑体" w:cs="黑体"/>
          <w:color w:val="auto"/>
          <w:sz w:val="24"/>
          <w:szCs w:val="24"/>
        </w:rPr>
      </w:pPr>
      <w:r>
        <w:rPr>
          <w:rFonts w:hAnsi="Times New Roman" w:eastAsia="黑体"/>
          <w:color w:val="auto"/>
          <w:sz w:val="24"/>
          <w:szCs w:val="24"/>
        </w:rPr>
        <w:t xml:space="preserve">6.1 </w:t>
      </w:r>
      <w:r>
        <w:rPr>
          <w:rFonts w:hint="eastAsia" w:ascii="黑体" w:hAnsi="Times New Roman" w:eastAsia="黑体" w:cs="黑体"/>
          <w:color w:val="auto"/>
          <w:sz w:val="24"/>
          <w:szCs w:val="24"/>
        </w:rPr>
        <w:t>评标委员会</w:t>
      </w:r>
    </w:p>
    <w:p>
      <w:pPr>
        <w:autoSpaceDE w:val="0"/>
        <w:autoSpaceDN w:val="0"/>
        <w:snapToGrid w:val="0"/>
        <w:spacing w:line="360" w:lineRule="auto"/>
        <w:ind w:firstLine="480"/>
        <w:jc w:val="left"/>
        <w:rPr>
          <w:rFonts w:hAnsi="Times New Roman"/>
          <w:color w:val="auto"/>
          <w:sz w:val="24"/>
          <w:szCs w:val="24"/>
        </w:rPr>
      </w:pPr>
      <w:r>
        <w:rPr>
          <w:rFonts w:hAnsi="Times New Roman" w:eastAsia="黑体"/>
          <w:color w:val="auto"/>
          <w:sz w:val="24"/>
          <w:szCs w:val="24"/>
        </w:rPr>
        <w:t xml:space="preserve">6.1.1 </w:t>
      </w:r>
      <w:r>
        <w:rPr>
          <w:rFonts w:hint="eastAsia" w:hAnsi="Times New Roman" w:cs="宋体"/>
          <w:color w:val="auto"/>
          <w:sz w:val="24"/>
          <w:szCs w:val="24"/>
        </w:rPr>
        <w:t>评标由招标人依法组建的评标委员会负责。评标委员会由招标人或其委托的招标代理机构熟悉相关业务的代表，以及有关技术、经济等方面的专家组成。评标委员会人数及技术、经济等方面的专家的确定方式见投标人须知前附表。</w:t>
      </w:r>
    </w:p>
    <w:p>
      <w:pPr>
        <w:autoSpaceDE w:val="0"/>
        <w:autoSpaceDN w:val="0"/>
        <w:snapToGrid w:val="0"/>
        <w:spacing w:line="360" w:lineRule="auto"/>
        <w:ind w:firstLine="480"/>
        <w:jc w:val="left"/>
        <w:rPr>
          <w:rFonts w:hAnsi="Times New Roman"/>
          <w:color w:val="auto"/>
          <w:sz w:val="24"/>
          <w:szCs w:val="24"/>
        </w:rPr>
      </w:pPr>
      <w:r>
        <w:rPr>
          <w:rFonts w:hAnsi="Times New Roman"/>
          <w:color w:val="auto"/>
          <w:sz w:val="24"/>
          <w:szCs w:val="24"/>
        </w:rPr>
        <w:t xml:space="preserve">6.1.2 </w:t>
      </w:r>
      <w:r>
        <w:rPr>
          <w:rFonts w:hint="eastAsia" w:hAnsi="Times New Roman" w:cs="宋体"/>
          <w:color w:val="auto"/>
          <w:sz w:val="24"/>
          <w:szCs w:val="24"/>
        </w:rPr>
        <w:t>评标委员会成员有下列情形之一的，应主动提出回避：</w:t>
      </w:r>
    </w:p>
    <w:p>
      <w:pPr>
        <w:autoSpaceDE w:val="0"/>
        <w:autoSpaceDN w:val="0"/>
        <w:snapToGrid w:val="0"/>
        <w:spacing w:line="360" w:lineRule="auto"/>
        <w:ind w:firstLine="480"/>
        <w:jc w:val="left"/>
        <w:rPr>
          <w:rFonts w:hAnsi="Times New Roman" w:cs="Times New Roman"/>
          <w:color w:val="auto"/>
          <w:sz w:val="24"/>
          <w:szCs w:val="24"/>
        </w:rPr>
      </w:pPr>
      <w:r>
        <w:rPr>
          <w:rFonts w:hint="eastAsia" w:hAnsi="Times New Roman" w:cs="宋体"/>
          <w:color w:val="auto"/>
          <w:sz w:val="24"/>
          <w:szCs w:val="24"/>
        </w:rPr>
        <w:t>（</w:t>
      </w:r>
      <w:r>
        <w:rPr>
          <w:rFonts w:hAnsi="Times New Roman"/>
          <w:color w:val="auto"/>
          <w:sz w:val="24"/>
          <w:szCs w:val="24"/>
        </w:rPr>
        <w:t>1</w:t>
      </w:r>
      <w:r>
        <w:rPr>
          <w:rFonts w:hint="eastAsia" w:hAnsi="Times New Roman" w:cs="宋体"/>
          <w:color w:val="auto"/>
          <w:sz w:val="24"/>
          <w:szCs w:val="24"/>
        </w:rPr>
        <w:t>）为负责招标项目监督管理的交通运输主管部门的工作人员；</w:t>
      </w:r>
    </w:p>
    <w:p>
      <w:pPr>
        <w:autoSpaceDE w:val="0"/>
        <w:autoSpaceDN w:val="0"/>
        <w:snapToGrid w:val="0"/>
        <w:spacing w:line="360" w:lineRule="auto"/>
        <w:ind w:firstLine="480"/>
        <w:jc w:val="left"/>
        <w:rPr>
          <w:rFonts w:hAnsi="Times New Roman"/>
          <w:color w:val="auto"/>
          <w:sz w:val="24"/>
          <w:szCs w:val="24"/>
        </w:rPr>
      </w:pPr>
      <w:r>
        <w:rPr>
          <w:rFonts w:hint="eastAsia" w:hAnsi="Times New Roman" w:cs="宋体"/>
          <w:color w:val="auto"/>
          <w:sz w:val="24"/>
          <w:szCs w:val="24"/>
        </w:rPr>
        <w:t>（</w:t>
      </w:r>
      <w:r>
        <w:rPr>
          <w:rFonts w:hAnsi="Times New Roman"/>
          <w:color w:val="auto"/>
          <w:sz w:val="24"/>
          <w:szCs w:val="24"/>
        </w:rPr>
        <w:t>2</w:t>
      </w:r>
      <w:r>
        <w:rPr>
          <w:rFonts w:hint="eastAsia" w:hAnsi="Times New Roman" w:cs="宋体"/>
          <w:color w:val="auto"/>
          <w:sz w:val="24"/>
          <w:szCs w:val="24"/>
        </w:rPr>
        <w:t>）与投标人法定代表人或其委托代理人有近亲属关系；</w:t>
      </w:r>
    </w:p>
    <w:p>
      <w:pPr>
        <w:autoSpaceDE w:val="0"/>
        <w:autoSpaceDN w:val="0"/>
        <w:snapToGrid w:val="0"/>
        <w:spacing w:line="360" w:lineRule="auto"/>
        <w:ind w:firstLine="480"/>
        <w:jc w:val="left"/>
        <w:rPr>
          <w:rFonts w:hAnsi="Times New Roman" w:cs="Times New Roman"/>
          <w:color w:val="auto"/>
          <w:sz w:val="24"/>
          <w:szCs w:val="24"/>
        </w:rPr>
      </w:pPr>
      <w:r>
        <w:rPr>
          <w:rFonts w:hint="eastAsia" w:hAnsi="Times New Roman" w:cs="宋体"/>
          <w:color w:val="auto"/>
          <w:sz w:val="24"/>
          <w:szCs w:val="24"/>
        </w:rPr>
        <w:t>（</w:t>
      </w:r>
      <w:r>
        <w:rPr>
          <w:rFonts w:hAnsi="Times New Roman"/>
          <w:color w:val="auto"/>
          <w:sz w:val="24"/>
          <w:szCs w:val="24"/>
        </w:rPr>
        <w:t>3</w:t>
      </w:r>
      <w:r>
        <w:rPr>
          <w:rFonts w:hint="eastAsia" w:hAnsi="Times New Roman" w:cs="宋体"/>
          <w:color w:val="auto"/>
          <w:sz w:val="24"/>
          <w:szCs w:val="24"/>
        </w:rPr>
        <w:t>）为投标人的工作人员或退休人员；</w:t>
      </w:r>
    </w:p>
    <w:p>
      <w:pPr>
        <w:autoSpaceDE w:val="0"/>
        <w:autoSpaceDN w:val="0"/>
        <w:snapToGrid w:val="0"/>
        <w:spacing w:line="360" w:lineRule="auto"/>
        <w:ind w:firstLine="480"/>
        <w:jc w:val="left"/>
        <w:rPr>
          <w:rFonts w:hAnsi="Times New Roman"/>
          <w:color w:val="auto"/>
          <w:sz w:val="24"/>
          <w:szCs w:val="24"/>
        </w:rPr>
      </w:pPr>
      <w:r>
        <w:rPr>
          <w:rFonts w:hint="eastAsia" w:hAnsi="Times New Roman" w:cs="宋体"/>
          <w:color w:val="auto"/>
          <w:sz w:val="24"/>
          <w:szCs w:val="24"/>
        </w:rPr>
        <w:t>（</w:t>
      </w:r>
      <w:r>
        <w:rPr>
          <w:rFonts w:hAnsi="Times New Roman"/>
          <w:color w:val="auto"/>
          <w:sz w:val="24"/>
          <w:szCs w:val="24"/>
        </w:rPr>
        <w:t>4</w:t>
      </w:r>
      <w:r>
        <w:rPr>
          <w:rFonts w:hint="eastAsia" w:hAnsi="Times New Roman" w:cs="宋体"/>
          <w:color w:val="auto"/>
          <w:sz w:val="24"/>
          <w:szCs w:val="24"/>
        </w:rPr>
        <w:t>）与投标人有其他利害关系，可能影响评标活动公正性；</w:t>
      </w:r>
    </w:p>
    <w:p>
      <w:pPr>
        <w:autoSpaceDE w:val="0"/>
        <w:autoSpaceDN w:val="0"/>
        <w:snapToGrid w:val="0"/>
        <w:spacing w:line="360" w:lineRule="auto"/>
        <w:ind w:firstLine="480"/>
        <w:jc w:val="left"/>
        <w:rPr>
          <w:rFonts w:hAnsi="Times New Roman" w:cs="Times New Roman"/>
          <w:color w:val="auto"/>
          <w:sz w:val="24"/>
          <w:szCs w:val="24"/>
        </w:rPr>
      </w:pPr>
      <w:r>
        <w:rPr>
          <w:rFonts w:hint="eastAsia" w:hAnsi="Times New Roman" w:cs="宋体"/>
          <w:color w:val="auto"/>
          <w:sz w:val="24"/>
          <w:szCs w:val="24"/>
        </w:rPr>
        <w:t>（</w:t>
      </w:r>
      <w:r>
        <w:rPr>
          <w:rFonts w:hAnsi="Times New Roman"/>
          <w:color w:val="auto"/>
          <w:sz w:val="24"/>
          <w:szCs w:val="24"/>
        </w:rPr>
        <w:t>5</w:t>
      </w:r>
      <w:r>
        <w:rPr>
          <w:rFonts w:hint="eastAsia" w:hAnsi="Times New Roman" w:cs="宋体"/>
          <w:color w:val="auto"/>
          <w:sz w:val="24"/>
          <w:szCs w:val="24"/>
        </w:rPr>
        <w:t>）在与招投标有关的活动中有过违法违规行为、曾受过行政处罚或刑事处罚。</w:t>
      </w:r>
    </w:p>
    <w:p>
      <w:pPr>
        <w:autoSpaceDE w:val="0"/>
        <w:autoSpaceDN w:val="0"/>
        <w:snapToGrid w:val="0"/>
        <w:spacing w:line="360" w:lineRule="auto"/>
        <w:ind w:firstLine="480"/>
        <w:jc w:val="left"/>
        <w:rPr>
          <w:rFonts w:hAnsi="Times New Roman" w:cs="Times New Roman"/>
          <w:color w:val="auto"/>
          <w:sz w:val="24"/>
          <w:szCs w:val="24"/>
        </w:rPr>
      </w:pPr>
      <w:r>
        <w:rPr>
          <w:rFonts w:hAnsi="Times New Roman"/>
          <w:color w:val="auto"/>
          <w:sz w:val="24"/>
          <w:szCs w:val="24"/>
        </w:rPr>
        <w:t xml:space="preserve">6.1.3 </w:t>
      </w:r>
      <w:r>
        <w:rPr>
          <w:rFonts w:hint="eastAsia" w:hAnsi="Times New Roman" w:cs="宋体"/>
          <w:color w:val="auto"/>
          <w:sz w:val="24"/>
          <w:szCs w:val="24"/>
        </w:rPr>
        <w:t>评标过程中，评标委员会成员有回避事由、擅离职守或因健康等原因不能继续评标的，招标人有权更换。被更换的评标委员会成员作出评审结论无效，由更换后的评标委员会成员重新进行评审。</w:t>
      </w:r>
    </w:p>
    <w:p>
      <w:pPr>
        <w:autoSpaceDE w:val="0"/>
        <w:autoSpaceDN w:val="0"/>
        <w:snapToGrid w:val="0"/>
        <w:spacing w:line="360" w:lineRule="auto"/>
        <w:jc w:val="left"/>
        <w:rPr>
          <w:rFonts w:ascii="黑体" w:hAnsi="Times New Roman" w:eastAsia="黑体" w:cs="黑体"/>
          <w:color w:val="auto"/>
          <w:sz w:val="24"/>
          <w:szCs w:val="24"/>
        </w:rPr>
      </w:pPr>
      <w:r>
        <w:rPr>
          <w:rFonts w:hAnsi="Times New Roman"/>
          <w:color w:val="auto"/>
          <w:sz w:val="24"/>
          <w:szCs w:val="24"/>
        </w:rPr>
        <w:t xml:space="preserve">6.2 </w:t>
      </w:r>
      <w:r>
        <w:rPr>
          <w:rFonts w:hint="eastAsia" w:ascii="黑体" w:hAnsi="Times New Roman" w:eastAsia="黑体" w:cs="黑体"/>
          <w:color w:val="auto"/>
          <w:sz w:val="24"/>
          <w:szCs w:val="24"/>
        </w:rPr>
        <w:t>评标原则</w:t>
      </w:r>
    </w:p>
    <w:p>
      <w:pPr>
        <w:autoSpaceDE w:val="0"/>
        <w:autoSpaceDN w:val="0"/>
        <w:snapToGrid w:val="0"/>
        <w:spacing w:line="360" w:lineRule="auto"/>
        <w:ind w:firstLine="480"/>
        <w:jc w:val="left"/>
        <w:rPr>
          <w:rFonts w:hAnsi="Times New Roman"/>
          <w:color w:val="auto"/>
          <w:sz w:val="24"/>
          <w:szCs w:val="24"/>
        </w:rPr>
      </w:pPr>
      <w:r>
        <w:rPr>
          <w:rFonts w:hint="eastAsia" w:hAnsi="Times New Roman" w:cs="宋体"/>
          <w:color w:val="auto"/>
          <w:sz w:val="24"/>
          <w:szCs w:val="24"/>
        </w:rPr>
        <w:t>评标活动遵循公平、公正、科学和择优的原则。</w:t>
      </w:r>
    </w:p>
    <w:p>
      <w:pPr>
        <w:autoSpaceDE w:val="0"/>
        <w:autoSpaceDN w:val="0"/>
        <w:snapToGrid w:val="0"/>
        <w:spacing w:line="360" w:lineRule="auto"/>
        <w:jc w:val="left"/>
        <w:rPr>
          <w:rFonts w:ascii="黑体" w:hAnsi="Times New Roman" w:eastAsia="黑体" w:cs="黑体"/>
          <w:color w:val="auto"/>
          <w:sz w:val="24"/>
          <w:szCs w:val="24"/>
        </w:rPr>
      </w:pPr>
      <w:r>
        <w:rPr>
          <w:rFonts w:hAnsi="Times New Roman"/>
          <w:color w:val="auto"/>
          <w:sz w:val="24"/>
          <w:szCs w:val="24"/>
        </w:rPr>
        <w:t xml:space="preserve">6.3 </w:t>
      </w:r>
      <w:r>
        <w:rPr>
          <w:rFonts w:hint="eastAsia" w:ascii="黑体" w:hAnsi="Times New Roman" w:eastAsia="黑体" w:cs="黑体"/>
          <w:color w:val="auto"/>
          <w:sz w:val="24"/>
          <w:szCs w:val="24"/>
        </w:rPr>
        <w:t>评标</w:t>
      </w:r>
    </w:p>
    <w:p>
      <w:pPr>
        <w:autoSpaceDE w:val="0"/>
        <w:autoSpaceDN w:val="0"/>
        <w:snapToGrid w:val="0"/>
        <w:spacing w:line="360" w:lineRule="auto"/>
        <w:ind w:firstLine="480"/>
        <w:jc w:val="left"/>
        <w:rPr>
          <w:rFonts w:hAnsi="Times New Roman" w:cs="Times New Roman"/>
          <w:color w:val="auto"/>
          <w:sz w:val="24"/>
          <w:szCs w:val="24"/>
        </w:rPr>
      </w:pPr>
      <w:r>
        <w:rPr>
          <w:rFonts w:hAnsi="Times New Roman"/>
          <w:color w:val="auto"/>
          <w:sz w:val="24"/>
          <w:szCs w:val="24"/>
        </w:rPr>
        <w:t xml:space="preserve">6.3.1 </w:t>
      </w:r>
      <w:r>
        <w:rPr>
          <w:rFonts w:hint="eastAsia" w:hAnsi="Times New Roman" w:cs="宋体"/>
          <w:color w:val="auto"/>
          <w:sz w:val="24"/>
          <w:szCs w:val="24"/>
        </w:rPr>
        <w:t>评标委员会按照第三章“评标办法”规定的方法、评审因素、标准和程序对投标文件进行评审。第三章“评标办法”没有规定的方法、评审因素和标准，不作为评标依据。</w:t>
      </w:r>
    </w:p>
    <w:p>
      <w:pPr>
        <w:autoSpaceDE w:val="0"/>
        <w:autoSpaceDN w:val="0"/>
        <w:snapToGrid w:val="0"/>
        <w:spacing w:line="360" w:lineRule="auto"/>
        <w:ind w:firstLine="480"/>
        <w:jc w:val="left"/>
        <w:rPr>
          <w:rFonts w:hAnsi="Times New Roman" w:cs="Times New Roman"/>
          <w:color w:val="auto"/>
          <w:sz w:val="24"/>
          <w:szCs w:val="24"/>
        </w:rPr>
      </w:pPr>
      <w:r>
        <w:rPr>
          <w:rFonts w:hAnsi="Times New Roman"/>
          <w:color w:val="auto"/>
          <w:sz w:val="24"/>
          <w:szCs w:val="24"/>
        </w:rPr>
        <w:t xml:space="preserve">6.3.2 </w:t>
      </w:r>
      <w:r>
        <w:rPr>
          <w:rFonts w:hint="eastAsia" w:hAnsi="Times New Roman" w:cs="宋体"/>
          <w:color w:val="auto"/>
          <w:sz w:val="24"/>
          <w:szCs w:val="24"/>
        </w:rPr>
        <w:t>评标完成后，评标委员会应向招标人提交书面评标报告和中标候选人名单。评标委员会推荐中标候选人的人数见投标人须知前附表。</w:t>
      </w:r>
    </w:p>
    <w:p>
      <w:pPr>
        <w:autoSpaceDE w:val="0"/>
        <w:autoSpaceDN w:val="0"/>
        <w:snapToGrid w:val="0"/>
        <w:spacing w:line="360" w:lineRule="auto"/>
        <w:jc w:val="left"/>
        <w:rPr>
          <w:rFonts w:ascii="黑体" w:hAnsi="黑体" w:eastAsia="黑体" w:cs="黑体"/>
          <w:b/>
          <w:bCs/>
          <w:color w:val="auto"/>
          <w:sz w:val="30"/>
          <w:szCs w:val="30"/>
        </w:rPr>
      </w:pPr>
      <w:r>
        <w:rPr>
          <w:rFonts w:ascii="黑体" w:hAnsi="黑体" w:eastAsia="黑体" w:cs="黑体"/>
          <w:b/>
          <w:bCs/>
          <w:color w:val="auto"/>
          <w:sz w:val="30"/>
          <w:szCs w:val="30"/>
        </w:rPr>
        <w:t xml:space="preserve">7. </w:t>
      </w:r>
      <w:r>
        <w:rPr>
          <w:rFonts w:hint="eastAsia" w:ascii="黑体" w:hAnsi="黑体" w:eastAsia="黑体" w:cs="黑体"/>
          <w:b/>
          <w:bCs/>
          <w:color w:val="auto"/>
          <w:sz w:val="30"/>
          <w:szCs w:val="30"/>
        </w:rPr>
        <w:t>合同授予</w:t>
      </w:r>
    </w:p>
    <w:p>
      <w:pPr>
        <w:autoSpaceDE w:val="0"/>
        <w:autoSpaceDN w:val="0"/>
        <w:snapToGrid w:val="0"/>
        <w:spacing w:line="360" w:lineRule="auto"/>
        <w:jc w:val="left"/>
        <w:rPr>
          <w:rFonts w:ascii="Times New Roman" w:hAnsi="Times New Roman" w:eastAsia="黑体" w:cs="Times New Roman"/>
          <w:color w:val="auto"/>
          <w:kern w:val="0"/>
          <w:sz w:val="24"/>
          <w:szCs w:val="24"/>
        </w:rPr>
      </w:pPr>
      <w:r>
        <w:rPr>
          <w:rFonts w:ascii="Times New Roman" w:hAnsi="Times New Roman" w:eastAsia="黑体" w:cs="Times New Roman"/>
          <w:color w:val="auto"/>
          <w:kern w:val="0"/>
          <w:sz w:val="24"/>
          <w:szCs w:val="24"/>
        </w:rPr>
        <w:t xml:space="preserve">7.1 </w:t>
      </w:r>
      <w:r>
        <w:rPr>
          <w:rFonts w:hint="eastAsia" w:ascii="Times New Roman" w:hAnsi="Times New Roman" w:eastAsia="黑体" w:cs="黑体"/>
          <w:color w:val="auto"/>
          <w:kern w:val="0"/>
          <w:sz w:val="24"/>
          <w:szCs w:val="24"/>
        </w:rPr>
        <w:t>中标候选人公示</w:t>
      </w:r>
    </w:p>
    <w:p>
      <w:pPr>
        <w:autoSpaceDE w:val="0"/>
        <w:autoSpaceDN w:val="0"/>
        <w:snapToGrid w:val="0"/>
        <w:spacing w:line="360" w:lineRule="auto"/>
        <w:ind w:firstLine="480"/>
        <w:jc w:val="left"/>
        <w:rPr>
          <w:rFonts w:ascii="宋体" w:cs="Times New Roman"/>
          <w:color w:val="auto"/>
          <w:kern w:val="0"/>
          <w:sz w:val="24"/>
          <w:szCs w:val="24"/>
        </w:rPr>
      </w:pPr>
      <w:r>
        <w:rPr>
          <w:rFonts w:hint="eastAsia" w:ascii="宋体" w:hAnsi="宋体" w:cs="宋体"/>
          <w:color w:val="auto"/>
          <w:kern w:val="0"/>
          <w:sz w:val="24"/>
          <w:szCs w:val="24"/>
        </w:rPr>
        <w:t>招标人在收到评标报告之日起</w:t>
      </w:r>
      <w:r>
        <w:rPr>
          <w:rFonts w:ascii="宋体" w:hAnsi="宋体" w:cs="宋体"/>
          <w:color w:val="auto"/>
          <w:kern w:val="0"/>
          <w:sz w:val="24"/>
          <w:szCs w:val="24"/>
        </w:rPr>
        <w:t>3</w:t>
      </w:r>
      <w:r>
        <w:rPr>
          <w:rFonts w:hint="eastAsia" w:ascii="宋体" w:hAnsi="宋体" w:cs="宋体"/>
          <w:color w:val="auto"/>
          <w:kern w:val="0"/>
          <w:sz w:val="24"/>
          <w:szCs w:val="24"/>
        </w:rPr>
        <w:t>日内，按照投标人须知前附表规定的公示媒介和期限公示中标候选人，公示期不得少于</w:t>
      </w:r>
      <w:r>
        <w:rPr>
          <w:rFonts w:ascii="宋体" w:hAnsi="宋体" w:cs="宋体"/>
          <w:color w:val="auto"/>
          <w:kern w:val="0"/>
          <w:sz w:val="24"/>
          <w:szCs w:val="24"/>
        </w:rPr>
        <w:t>3</w:t>
      </w:r>
      <w:r>
        <w:rPr>
          <w:rFonts w:hint="eastAsia" w:ascii="宋体" w:hAnsi="宋体" w:cs="宋体"/>
          <w:color w:val="auto"/>
          <w:kern w:val="0"/>
          <w:sz w:val="24"/>
          <w:szCs w:val="24"/>
        </w:rPr>
        <w:t>日，公示内容包括：</w:t>
      </w:r>
    </w:p>
    <w:p>
      <w:pPr>
        <w:autoSpaceDE w:val="0"/>
        <w:autoSpaceDN w:val="0"/>
        <w:snapToGrid w:val="0"/>
        <w:spacing w:line="360" w:lineRule="auto"/>
        <w:ind w:firstLine="480"/>
        <w:jc w:val="left"/>
        <w:rPr>
          <w:rFonts w:ascii="宋体" w:cs="Times New Roman"/>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1</w:t>
      </w:r>
      <w:r>
        <w:rPr>
          <w:rFonts w:hint="eastAsia" w:ascii="宋体" w:hAnsi="宋体" w:cs="宋体"/>
          <w:color w:val="auto"/>
          <w:kern w:val="0"/>
          <w:sz w:val="24"/>
          <w:szCs w:val="24"/>
        </w:rPr>
        <w:t>）中标候选人排序、名称、投标报价，对勘察设计质量要求、安全目标和勘察设计服务期限的响应情况；</w:t>
      </w:r>
    </w:p>
    <w:p>
      <w:pPr>
        <w:autoSpaceDE w:val="0"/>
        <w:autoSpaceDN w:val="0"/>
        <w:snapToGrid w:val="0"/>
        <w:spacing w:line="360" w:lineRule="auto"/>
        <w:ind w:firstLine="480"/>
        <w:jc w:val="left"/>
        <w:rPr>
          <w:rFonts w:cs="Times New Roman"/>
          <w:color w:val="auto"/>
          <w:sz w:val="24"/>
          <w:szCs w:val="24"/>
        </w:rPr>
      </w:pPr>
      <w:r>
        <w:rPr>
          <w:rFonts w:hint="eastAsia" w:cs="宋体"/>
          <w:color w:val="auto"/>
          <w:sz w:val="24"/>
          <w:szCs w:val="24"/>
        </w:rPr>
        <w:t>（</w:t>
      </w:r>
      <w:r>
        <w:rPr>
          <w:color w:val="auto"/>
          <w:sz w:val="24"/>
          <w:szCs w:val="24"/>
        </w:rPr>
        <w:t>2</w:t>
      </w:r>
      <w:r>
        <w:rPr>
          <w:rFonts w:hint="eastAsia" w:cs="宋体"/>
          <w:color w:val="auto"/>
          <w:sz w:val="24"/>
          <w:szCs w:val="24"/>
        </w:rPr>
        <w:t>）中标候选人在投标文件中承诺的项目负责人姓名、个人业绩、相关证书名称和编号；</w:t>
      </w:r>
    </w:p>
    <w:p>
      <w:pPr>
        <w:autoSpaceDE w:val="0"/>
        <w:autoSpaceDN w:val="0"/>
        <w:snapToGrid w:val="0"/>
        <w:spacing w:line="360" w:lineRule="auto"/>
        <w:ind w:firstLine="480"/>
        <w:jc w:val="left"/>
        <w:rPr>
          <w:rFonts w:cs="Times New Roman"/>
          <w:color w:val="auto"/>
          <w:sz w:val="24"/>
          <w:szCs w:val="24"/>
        </w:rPr>
      </w:pPr>
      <w:r>
        <w:rPr>
          <w:rFonts w:hint="eastAsia" w:cs="宋体"/>
          <w:color w:val="auto"/>
          <w:sz w:val="24"/>
          <w:szCs w:val="24"/>
        </w:rPr>
        <w:t>（</w:t>
      </w:r>
      <w:r>
        <w:rPr>
          <w:color w:val="auto"/>
          <w:sz w:val="24"/>
          <w:szCs w:val="24"/>
        </w:rPr>
        <w:t>3</w:t>
      </w:r>
      <w:r>
        <w:rPr>
          <w:rFonts w:hint="eastAsia" w:cs="宋体"/>
          <w:color w:val="auto"/>
          <w:sz w:val="24"/>
          <w:szCs w:val="24"/>
        </w:rPr>
        <w:t>）中标候选人在投标文件中填报的项目业绩；</w:t>
      </w:r>
    </w:p>
    <w:p>
      <w:pPr>
        <w:autoSpaceDE w:val="0"/>
        <w:autoSpaceDN w:val="0"/>
        <w:snapToGrid w:val="0"/>
        <w:spacing w:line="360" w:lineRule="auto"/>
        <w:ind w:firstLine="480"/>
        <w:jc w:val="left"/>
        <w:rPr>
          <w:rFonts w:cs="Times New Roman"/>
          <w:color w:val="auto"/>
          <w:sz w:val="24"/>
          <w:szCs w:val="24"/>
        </w:rPr>
      </w:pPr>
      <w:r>
        <w:rPr>
          <w:rFonts w:hint="eastAsia" w:cs="宋体"/>
          <w:color w:val="auto"/>
          <w:sz w:val="24"/>
          <w:szCs w:val="24"/>
        </w:rPr>
        <w:t>（</w:t>
      </w:r>
      <w:r>
        <w:rPr>
          <w:color w:val="auto"/>
          <w:sz w:val="24"/>
          <w:szCs w:val="24"/>
        </w:rPr>
        <w:t>4</w:t>
      </w:r>
      <w:r>
        <w:rPr>
          <w:rFonts w:hint="eastAsia" w:cs="宋体"/>
          <w:color w:val="auto"/>
          <w:sz w:val="24"/>
          <w:szCs w:val="24"/>
        </w:rPr>
        <w:t>）被否决的投标人名称，否决依据和原因；</w:t>
      </w:r>
    </w:p>
    <w:p>
      <w:pPr>
        <w:autoSpaceDE w:val="0"/>
        <w:autoSpaceDN w:val="0"/>
        <w:snapToGrid w:val="0"/>
        <w:spacing w:line="360" w:lineRule="auto"/>
        <w:ind w:firstLine="480"/>
        <w:jc w:val="left"/>
        <w:rPr>
          <w:rFonts w:cs="Times New Roman"/>
          <w:color w:val="auto"/>
          <w:sz w:val="24"/>
          <w:szCs w:val="24"/>
        </w:rPr>
      </w:pPr>
      <w:r>
        <w:rPr>
          <w:rFonts w:hint="eastAsia" w:cs="宋体"/>
          <w:color w:val="auto"/>
          <w:sz w:val="24"/>
          <w:szCs w:val="24"/>
        </w:rPr>
        <w:t>（</w:t>
      </w:r>
      <w:r>
        <w:rPr>
          <w:color w:val="auto"/>
          <w:sz w:val="24"/>
          <w:szCs w:val="24"/>
        </w:rPr>
        <w:t>5</w:t>
      </w:r>
      <w:r>
        <w:rPr>
          <w:rFonts w:hint="eastAsia" w:cs="宋体"/>
          <w:color w:val="auto"/>
          <w:sz w:val="24"/>
          <w:szCs w:val="24"/>
        </w:rPr>
        <w:t>）提出异议的渠道和方式；</w:t>
      </w:r>
    </w:p>
    <w:p>
      <w:pPr>
        <w:autoSpaceDE w:val="0"/>
        <w:autoSpaceDN w:val="0"/>
        <w:snapToGrid w:val="0"/>
        <w:spacing w:line="360" w:lineRule="auto"/>
        <w:ind w:firstLine="480"/>
        <w:jc w:val="left"/>
        <w:rPr>
          <w:rFonts w:cs="Times New Roman"/>
          <w:color w:val="auto"/>
          <w:sz w:val="24"/>
          <w:szCs w:val="24"/>
        </w:rPr>
      </w:pPr>
      <w:r>
        <w:rPr>
          <w:rFonts w:hint="eastAsia" w:cs="宋体"/>
          <w:color w:val="auto"/>
          <w:sz w:val="24"/>
          <w:szCs w:val="24"/>
        </w:rPr>
        <w:t>（</w:t>
      </w:r>
      <w:r>
        <w:rPr>
          <w:color w:val="auto"/>
          <w:sz w:val="24"/>
          <w:szCs w:val="24"/>
        </w:rPr>
        <w:t>6</w:t>
      </w:r>
      <w:r>
        <w:rPr>
          <w:rFonts w:hint="eastAsia" w:cs="宋体"/>
          <w:color w:val="auto"/>
          <w:sz w:val="24"/>
          <w:szCs w:val="24"/>
        </w:rPr>
        <w:t>）投标人须知前附表规定公示的其他内容。</w:t>
      </w:r>
    </w:p>
    <w:p>
      <w:pPr>
        <w:autoSpaceDE w:val="0"/>
        <w:autoSpaceDN w:val="0"/>
        <w:snapToGrid w:val="0"/>
        <w:spacing w:line="360" w:lineRule="auto"/>
        <w:jc w:val="left"/>
        <w:rPr>
          <w:rFonts w:hAnsi="Times New Roman" w:eastAsia="黑体" w:cs="Times New Roman"/>
          <w:color w:val="auto"/>
          <w:sz w:val="24"/>
          <w:szCs w:val="24"/>
        </w:rPr>
      </w:pPr>
      <w:r>
        <w:rPr>
          <w:rFonts w:hAnsi="Times New Roman" w:eastAsia="黑体"/>
          <w:color w:val="auto"/>
          <w:sz w:val="24"/>
          <w:szCs w:val="24"/>
        </w:rPr>
        <w:t xml:space="preserve">7.2 </w:t>
      </w:r>
      <w:r>
        <w:rPr>
          <w:rFonts w:hint="eastAsia" w:hAnsi="Times New Roman" w:eastAsia="黑体" w:cs="黑体"/>
          <w:color w:val="auto"/>
          <w:sz w:val="24"/>
          <w:szCs w:val="24"/>
        </w:rPr>
        <w:t>评标结果的异议</w:t>
      </w:r>
    </w:p>
    <w:p>
      <w:pPr>
        <w:autoSpaceDE w:val="0"/>
        <w:autoSpaceDN w:val="0"/>
        <w:snapToGrid w:val="0"/>
        <w:spacing w:line="360" w:lineRule="auto"/>
        <w:ind w:firstLine="480"/>
        <w:jc w:val="left"/>
        <w:rPr>
          <w:rFonts w:cs="Times New Roman"/>
          <w:color w:val="auto"/>
          <w:sz w:val="24"/>
          <w:szCs w:val="24"/>
        </w:rPr>
      </w:pPr>
      <w:r>
        <w:rPr>
          <w:rFonts w:hint="eastAsia" w:cs="宋体"/>
          <w:color w:val="auto"/>
          <w:sz w:val="24"/>
          <w:szCs w:val="24"/>
        </w:rPr>
        <w:t>投标人或其他利害关系人对依法必须进行招标的项目的评标结果有异议的，应在中标候选人公示期间提出。招标人将在收到异议之日起</w:t>
      </w:r>
      <w:r>
        <w:rPr>
          <w:color w:val="auto"/>
          <w:sz w:val="24"/>
          <w:szCs w:val="24"/>
        </w:rPr>
        <w:t>3</w:t>
      </w:r>
      <w:r>
        <w:rPr>
          <w:rFonts w:hint="eastAsia" w:cs="宋体"/>
          <w:color w:val="auto"/>
          <w:sz w:val="24"/>
          <w:szCs w:val="24"/>
        </w:rPr>
        <w:t>日内作出答复；作出答复前，将暂停招标投标活动。</w:t>
      </w:r>
    </w:p>
    <w:p>
      <w:pPr>
        <w:autoSpaceDE w:val="0"/>
        <w:autoSpaceDN w:val="0"/>
        <w:snapToGrid w:val="0"/>
        <w:spacing w:line="360" w:lineRule="auto"/>
        <w:jc w:val="left"/>
        <w:rPr>
          <w:rFonts w:hAnsi="Times New Roman" w:eastAsia="黑体" w:cs="Times New Roman"/>
          <w:color w:val="auto"/>
          <w:sz w:val="24"/>
          <w:szCs w:val="24"/>
        </w:rPr>
      </w:pPr>
      <w:r>
        <w:rPr>
          <w:rFonts w:hAnsi="Times New Roman" w:eastAsia="黑体"/>
          <w:color w:val="auto"/>
          <w:sz w:val="24"/>
          <w:szCs w:val="24"/>
        </w:rPr>
        <w:t xml:space="preserve">7.3 </w:t>
      </w:r>
      <w:r>
        <w:rPr>
          <w:rFonts w:hint="eastAsia" w:hAnsi="Times New Roman" w:eastAsia="黑体" w:cs="黑体"/>
          <w:color w:val="auto"/>
          <w:sz w:val="24"/>
          <w:szCs w:val="24"/>
        </w:rPr>
        <w:t>中标候选人履约能力审查</w:t>
      </w:r>
    </w:p>
    <w:p>
      <w:pPr>
        <w:autoSpaceDE w:val="0"/>
        <w:autoSpaceDN w:val="0"/>
        <w:snapToGrid w:val="0"/>
        <w:spacing w:line="360" w:lineRule="auto"/>
        <w:ind w:firstLine="480"/>
        <w:jc w:val="left"/>
        <w:rPr>
          <w:rFonts w:cs="Times New Roman"/>
          <w:color w:val="auto"/>
          <w:sz w:val="24"/>
          <w:szCs w:val="24"/>
        </w:rPr>
      </w:pPr>
      <w:r>
        <w:rPr>
          <w:rFonts w:hint="eastAsia" w:cs="宋体"/>
          <w:color w:val="auto"/>
          <w:sz w:val="24"/>
          <w:szCs w:val="24"/>
        </w:rPr>
        <w:t>中标候选人的经营、财务状况发生较大变化或存在违法行为，招标人认为可能影响其履约能力的，将在发出中标通知书前提请原评标委员会按照招标文件规定的标准和方法进行审查确认。</w:t>
      </w:r>
    </w:p>
    <w:p>
      <w:pPr>
        <w:autoSpaceDE w:val="0"/>
        <w:autoSpaceDN w:val="0"/>
        <w:snapToGrid w:val="0"/>
        <w:spacing w:line="360" w:lineRule="auto"/>
        <w:jc w:val="left"/>
        <w:rPr>
          <w:rFonts w:ascii="黑体" w:hAnsi="Times New Roman" w:eastAsia="黑体" w:cs="黑体"/>
          <w:color w:val="auto"/>
          <w:sz w:val="24"/>
          <w:szCs w:val="24"/>
        </w:rPr>
      </w:pPr>
      <w:r>
        <w:rPr>
          <w:rFonts w:ascii="黑体" w:hAnsi="Times New Roman" w:eastAsia="黑体" w:cs="黑体"/>
          <w:color w:val="auto"/>
          <w:sz w:val="24"/>
          <w:szCs w:val="24"/>
        </w:rPr>
        <w:t xml:space="preserve">7.4 </w:t>
      </w:r>
      <w:r>
        <w:rPr>
          <w:rFonts w:hint="eastAsia" w:ascii="黑体" w:hAnsi="Times New Roman" w:eastAsia="黑体" w:cs="黑体"/>
          <w:color w:val="auto"/>
          <w:sz w:val="24"/>
          <w:szCs w:val="24"/>
        </w:rPr>
        <w:t>定标</w:t>
      </w:r>
    </w:p>
    <w:p>
      <w:pPr>
        <w:autoSpaceDE w:val="0"/>
        <w:autoSpaceDN w:val="0"/>
        <w:snapToGrid w:val="0"/>
        <w:spacing w:line="360" w:lineRule="auto"/>
        <w:ind w:firstLine="480"/>
        <w:jc w:val="left"/>
        <w:rPr>
          <w:rFonts w:hAnsi="Times New Roman"/>
          <w:color w:val="auto"/>
          <w:sz w:val="24"/>
          <w:szCs w:val="24"/>
        </w:rPr>
      </w:pPr>
      <w:r>
        <w:rPr>
          <w:rFonts w:hint="eastAsia" w:hAnsi="Times New Roman" w:cs="宋体"/>
          <w:color w:val="auto"/>
          <w:sz w:val="24"/>
          <w:szCs w:val="24"/>
        </w:rPr>
        <w:t>按照投标人须知前附表的规定，招标人或招标人授权的评标委员会依法确定中标人。</w:t>
      </w:r>
    </w:p>
    <w:p>
      <w:pPr>
        <w:autoSpaceDE w:val="0"/>
        <w:autoSpaceDN w:val="0"/>
        <w:snapToGrid w:val="0"/>
        <w:spacing w:line="360" w:lineRule="auto"/>
        <w:jc w:val="left"/>
        <w:rPr>
          <w:rFonts w:ascii="黑体" w:hAnsi="Times New Roman" w:eastAsia="黑体" w:cs="黑体"/>
          <w:color w:val="auto"/>
          <w:sz w:val="24"/>
          <w:szCs w:val="24"/>
        </w:rPr>
      </w:pPr>
      <w:r>
        <w:rPr>
          <w:rFonts w:hAnsi="Times New Roman"/>
          <w:color w:val="auto"/>
          <w:sz w:val="24"/>
          <w:szCs w:val="24"/>
        </w:rPr>
        <w:t xml:space="preserve">7.5 </w:t>
      </w:r>
      <w:r>
        <w:rPr>
          <w:rFonts w:hint="eastAsia" w:ascii="黑体" w:hAnsi="Times New Roman" w:eastAsia="黑体" w:cs="黑体"/>
          <w:color w:val="auto"/>
          <w:sz w:val="24"/>
          <w:szCs w:val="24"/>
        </w:rPr>
        <w:t>中标通知</w:t>
      </w:r>
    </w:p>
    <w:p>
      <w:pPr>
        <w:autoSpaceDE w:val="0"/>
        <w:autoSpaceDN w:val="0"/>
        <w:snapToGrid w:val="0"/>
        <w:spacing w:line="360" w:lineRule="auto"/>
        <w:ind w:firstLine="480"/>
        <w:jc w:val="left"/>
        <w:rPr>
          <w:rFonts w:hAnsi="Times New Roman"/>
          <w:color w:val="auto"/>
          <w:sz w:val="24"/>
          <w:szCs w:val="24"/>
        </w:rPr>
      </w:pPr>
      <w:r>
        <w:rPr>
          <w:rFonts w:hint="eastAsia" w:hAnsi="Times New Roman" w:cs="宋体"/>
          <w:color w:val="auto"/>
          <w:sz w:val="24"/>
          <w:szCs w:val="24"/>
        </w:rPr>
        <w:t>在本章第</w:t>
      </w:r>
      <w:r>
        <w:rPr>
          <w:rFonts w:hAnsi="Times New Roman"/>
          <w:color w:val="auto"/>
          <w:sz w:val="24"/>
          <w:szCs w:val="24"/>
        </w:rPr>
        <w:t>3.3</w:t>
      </w:r>
      <w:r>
        <w:rPr>
          <w:rFonts w:hint="eastAsia" w:hAnsi="Times New Roman" w:cs="宋体"/>
          <w:color w:val="auto"/>
          <w:sz w:val="24"/>
          <w:szCs w:val="24"/>
        </w:rPr>
        <w:t>款规定的投标有效期内，招标人以投标人须知前附表的形式向中标人发出中标通知书，同时将中标结果通知未中标的投标人。</w:t>
      </w:r>
    </w:p>
    <w:p>
      <w:pPr>
        <w:autoSpaceDE w:val="0"/>
        <w:autoSpaceDN w:val="0"/>
        <w:snapToGrid w:val="0"/>
        <w:spacing w:line="360" w:lineRule="auto"/>
        <w:jc w:val="left"/>
        <w:rPr>
          <w:rFonts w:ascii="黑体" w:hAnsi="黑体" w:eastAsia="黑体" w:cs="Times New Roman"/>
          <w:color w:val="auto"/>
          <w:sz w:val="24"/>
          <w:szCs w:val="24"/>
        </w:rPr>
      </w:pPr>
      <w:r>
        <w:rPr>
          <w:rFonts w:hAnsi="Times New Roman"/>
          <w:color w:val="auto"/>
          <w:sz w:val="24"/>
          <w:szCs w:val="24"/>
        </w:rPr>
        <w:t xml:space="preserve">7.6 </w:t>
      </w:r>
      <w:r>
        <w:rPr>
          <w:rFonts w:hint="eastAsia" w:ascii="黑体" w:hAnsi="黑体" w:eastAsia="黑体" w:cs="黑体"/>
          <w:color w:val="auto"/>
          <w:sz w:val="24"/>
          <w:szCs w:val="24"/>
        </w:rPr>
        <w:t>中标结果公告</w:t>
      </w:r>
    </w:p>
    <w:p>
      <w:pPr>
        <w:autoSpaceDE w:val="0"/>
        <w:autoSpaceDN w:val="0"/>
        <w:snapToGrid w:val="0"/>
        <w:spacing w:line="360" w:lineRule="auto"/>
        <w:ind w:firstLine="480"/>
        <w:jc w:val="left"/>
        <w:rPr>
          <w:rFonts w:hAnsi="Times New Roman" w:cs="Times New Roman"/>
          <w:color w:val="auto"/>
          <w:sz w:val="24"/>
          <w:szCs w:val="24"/>
        </w:rPr>
      </w:pPr>
      <w:r>
        <w:rPr>
          <w:rFonts w:hint="eastAsia" w:cs="宋体"/>
          <w:color w:val="auto"/>
          <w:sz w:val="24"/>
          <w:szCs w:val="24"/>
        </w:rPr>
        <w:t>招标人在确定招标人之日起</w:t>
      </w:r>
      <w:r>
        <w:rPr>
          <w:color w:val="auto"/>
          <w:sz w:val="24"/>
          <w:szCs w:val="24"/>
        </w:rPr>
        <w:t>3</w:t>
      </w:r>
      <w:r>
        <w:rPr>
          <w:rFonts w:hint="eastAsia" w:cs="宋体"/>
          <w:color w:val="auto"/>
          <w:sz w:val="24"/>
          <w:szCs w:val="24"/>
        </w:rPr>
        <w:t>日内，按照</w:t>
      </w:r>
      <w:r>
        <w:rPr>
          <w:rFonts w:hint="eastAsia" w:hAnsi="Times New Roman" w:cs="宋体"/>
          <w:color w:val="auto"/>
          <w:sz w:val="24"/>
          <w:szCs w:val="24"/>
        </w:rPr>
        <w:t>投标人须知前附表规定的公告媒介和期限公告中标结果，公告期不得少于</w:t>
      </w:r>
      <w:r>
        <w:rPr>
          <w:rFonts w:hAnsi="Times New Roman"/>
          <w:color w:val="auto"/>
          <w:sz w:val="24"/>
          <w:szCs w:val="24"/>
        </w:rPr>
        <w:t>3</w:t>
      </w:r>
      <w:r>
        <w:rPr>
          <w:rFonts w:hint="eastAsia" w:hAnsi="Times New Roman" w:cs="宋体"/>
          <w:color w:val="auto"/>
          <w:sz w:val="24"/>
          <w:szCs w:val="24"/>
        </w:rPr>
        <w:t>日。公告内容包括中标人名称、中标价。</w:t>
      </w:r>
    </w:p>
    <w:p>
      <w:pPr>
        <w:autoSpaceDE w:val="0"/>
        <w:autoSpaceDN w:val="0"/>
        <w:snapToGrid w:val="0"/>
        <w:spacing w:line="360" w:lineRule="auto"/>
        <w:jc w:val="left"/>
        <w:rPr>
          <w:rFonts w:hAnsi="Times New Roman" w:cs="Times New Roman"/>
          <w:color w:val="auto"/>
          <w:sz w:val="24"/>
          <w:szCs w:val="24"/>
        </w:rPr>
      </w:pPr>
      <w:r>
        <w:rPr>
          <w:rFonts w:hAnsi="Times New Roman"/>
          <w:color w:val="auto"/>
          <w:sz w:val="24"/>
          <w:szCs w:val="24"/>
        </w:rPr>
        <w:t xml:space="preserve">7.7 </w:t>
      </w:r>
      <w:r>
        <w:rPr>
          <w:rFonts w:hint="eastAsia" w:ascii="黑体" w:hAnsi="黑体" w:eastAsia="黑体" w:cs="黑体"/>
          <w:color w:val="auto"/>
          <w:sz w:val="24"/>
          <w:szCs w:val="24"/>
        </w:rPr>
        <w:t>技术成果经济补偿</w:t>
      </w:r>
    </w:p>
    <w:p>
      <w:pPr>
        <w:autoSpaceDE w:val="0"/>
        <w:autoSpaceDN w:val="0"/>
        <w:snapToGrid w:val="0"/>
        <w:spacing w:line="360" w:lineRule="auto"/>
        <w:ind w:firstLine="480"/>
        <w:jc w:val="left"/>
        <w:rPr>
          <w:rFonts w:hAnsi="Times New Roman" w:cs="Times New Roman"/>
          <w:color w:val="auto"/>
          <w:sz w:val="24"/>
          <w:szCs w:val="24"/>
        </w:rPr>
      </w:pPr>
      <w:r>
        <w:rPr>
          <w:rFonts w:hint="eastAsia" w:hAnsi="Times New Roman" w:cs="宋体"/>
          <w:color w:val="auto"/>
          <w:sz w:val="24"/>
          <w:szCs w:val="24"/>
        </w:rPr>
        <w:t>招标人对符合招标文件规定的未中标人的技术成果进行补偿的，招标人将按投标人须知前附表规定的标准给予经济补偿，未中标人在投标文件中声明放弃技术成果经济补偿费的除外。招标人将于中标通知书发出后</w:t>
      </w:r>
      <w:r>
        <w:rPr>
          <w:rFonts w:hAnsi="Times New Roman"/>
          <w:color w:val="auto"/>
          <w:sz w:val="24"/>
          <w:szCs w:val="24"/>
        </w:rPr>
        <w:t>30</w:t>
      </w:r>
      <w:r>
        <w:rPr>
          <w:rFonts w:hint="eastAsia" w:hAnsi="Times New Roman" w:cs="宋体"/>
          <w:color w:val="auto"/>
          <w:sz w:val="24"/>
          <w:szCs w:val="24"/>
        </w:rPr>
        <w:t>日内向未中标人支付技术成果经济补偿费。</w:t>
      </w:r>
    </w:p>
    <w:p>
      <w:pPr>
        <w:autoSpaceDE w:val="0"/>
        <w:autoSpaceDN w:val="0"/>
        <w:snapToGrid w:val="0"/>
        <w:spacing w:line="360" w:lineRule="auto"/>
        <w:jc w:val="left"/>
        <w:rPr>
          <w:rFonts w:ascii="黑体" w:hAnsi="Times New Roman" w:eastAsia="黑体" w:cs="黑体"/>
          <w:color w:val="auto"/>
          <w:sz w:val="24"/>
          <w:szCs w:val="24"/>
        </w:rPr>
      </w:pPr>
      <w:r>
        <w:rPr>
          <w:rFonts w:hAnsi="Times New Roman"/>
          <w:color w:val="auto"/>
          <w:sz w:val="24"/>
          <w:szCs w:val="24"/>
        </w:rPr>
        <w:t xml:space="preserve">7.8 </w:t>
      </w:r>
      <w:r>
        <w:rPr>
          <w:rFonts w:hint="eastAsia" w:ascii="黑体" w:hAnsi="Times New Roman" w:eastAsia="黑体" w:cs="黑体"/>
          <w:color w:val="auto"/>
          <w:sz w:val="24"/>
          <w:szCs w:val="24"/>
        </w:rPr>
        <w:t>履约保证金</w:t>
      </w:r>
    </w:p>
    <w:p>
      <w:pPr>
        <w:autoSpaceDE w:val="0"/>
        <w:autoSpaceDN w:val="0"/>
        <w:snapToGrid w:val="0"/>
        <w:spacing w:line="360" w:lineRule="auto"/>
        <w:ind w:firstLine="480"/>
        <w:jc w:val="left"/>
        <w:rPr>
          <w:rFonts w:hAnsi="Times New Roman" w:cs="Times New Roman"/>
          <w:color w:val="auto"/>
          <w:sz w:val="24"/>
          <w:szCs w:val="24"/>
        </w:rPr>
      </w:pPr>
      <w:r>
        <w:rPr>
          <w:rFonts w:hAnsi="Times New Roman" w:eastAsia="黑体"/>
          <w:color w:val="auto"/>
          <w:sz w:val="24"/>
          <w:szCs w:val="24"/>
        </w:rPr>
        <w:t xml:space="preserve">7.8.1 </w:t>
      </w:r>
      <w:r>
        <w:rPr>
          <w:rFonts w:hint="eastAsia" w:hAnsi="Times New Roman" w:cs="宋体"/>
          <w:color w:val="auto"/>
          <w:sz w:val="24"/>
          <w:szCs w:val="24"/>
        </w:rPr>
        <w:t>在签订合同前，中标人应按投标人须知前附表规定的形式、金额和招标文件第四章“合同条款及格式”规定的或事先经过招标人书面认可的履约保证金格式向招标人提交履约保证金。除投标人须知前附表另有规定外，履约保证金为签约合同价的</w:t>
      </w:r>
      <w:r>
        <w:rPr>
          <w:rFonts w:hAnsi="Times New Roman"/>
          <w:color w:val="auto"/>
          <w:sz w:val="24"/>
          <w:szCs w:val="24"/>
        </w:rPr>
        <w:t>10%</w:t>
      </w:r>
      <w:r>
        <w:rPr>
          <w:rFonts w:hint="eastAsia" w:hAnsi="Times New Roman" w:cs="宋体"/>
          <w:color w:val="auto"/>
          <w:sz w:val="24"/>
          <w:szCs w:val="24"/>
        </w:rPr>
        <w:t>。联合体中标的，其履约保证金以联合体各方或联合体中牵头人的名义提交。</w:t>
      </w:r>
    </w:p>
    <w:p>
      <w:pPr>
        <w:autoSpaceDE w:val="0"/>
        <w:autoSpaceDN w:val="0"/>
        <w:snapToGrid w:val="0"/>
        <w:spacing w:line="360" w:lineRule="auto"/>
        <w:ind w:firstLine="480"/>
        <w:jc w:val="left"/>
        <w:rPr>
          <w:rFonts w:hAnsi="Times New Roman"/>
          <w:color w:val="auto"/>
          <w:sz w:val="24"/>
          <w:szCs w:val="24"/>
        </w:rPr>
      </w:pPr>
      <w:r>
        <w:rPr>
          <w:rFonts w:hint="eastAsia" w:hAnsi="Times New Roman" w:cs="宋体"/>
          <w:color w:val="auto"/>
          <w:sz w:val="24"/>
          <w:szCs w:val="24"/>
        </w:rPr>
        <w:t>采用银行保函时，应由符合投标人须知前附表规定级别的银行开具，所需费用由中标人承担，中标人应保证银行保函有效。</w:t>
      </w:r>
    </w:p>
    <w:p>
      <w:pPr>
        <w:autoSpaceDE w:val="0"/>
        <w:autoSpaceDN w:val="0"/>
        <w:snapToGrid w:val="0"/>
        <w:spacing w:line="360" w:lineRule="auto"/>
        <w:ind w:firstLine="480"/>
        <w:jc w:val="left"/>
        <w:rPr>
          <w:rFonts w:hAnsi="Times New Roman" w:cs="Times New Roman"/>
          <w:color w:val="auto"/>
          <w:sz w:val="24"/>
          <w:szCs w:val="24"/>
        </w:rPr>
      </w:pPr>
      <w:r>
        <w:rPr>
          <w:rFonts w:hAnsi="Times New Roman"/>
          <w:color w:val="auto"/>
          <w:sz w:val="24"/>
          <w:szCs w:val="24"/>
        </w:rPr>
        <w:t xml:space="preserve">7.8.2 </w:t>
      </w:r>
      <w:r>
        <w:rPr>
          <w:rFonts w:hint="eastAsia" w:hAnsi="Times New Roman" w:cs="宋体"/>
          <w:color w:val="auto"/>
          <w:sz w:val="24"/>
          <w:szCs w:val="24"/>
        </w:rPr>
        <w:t>中标人不能按本章第</w:t>
      </w:r>
      <w:r>
        <w:rPr>
          <w:rFonts w:hAnsi="Times New Roman"/>
          <w:color w:val="auto"/>
          <w:sz w:val="24"/>
          <w:szCs w:val="24"/>
        </w:rPr>
        <w:t>7.8.1</w:t>
      </w:r>
      <w:r>
        <w:rPr>
          <w:rFonts w:hint="eastAsia" w:hAnsi="Times New Roman" w:cs="宋体"/>
          <w:color w:val="auto"/>
          <w:sz w:val="24"/>
          <w:szCs w:val="24"/>
        </w:rPr>
        <w:t>项要求提交履约担保的，视为放弃中标，其投标保证金不予退还，给招标人造成的损失超过投标保证金数额的，中标人还应对超过部分予以赔偿。</w:t>
      </w:r>
    </w:p>
    <w:p>
      <w:pPr>
        <w:autoSpaceDE w:val="0"/>
        <w:autoSpaceDN w:val="0"/>
        <w:snapToGrid w:val="0"/>
        <w:spacing w:line="360" w:lineRule="auto"/>
        <w:jc w:val="left"/>
        <w:rPr>
          <w:rFonts w:ascii="黑体" w:hAnsi="Times New Roman" w:eastAsia="黑体" w:cs="黑体"/>
          <w:color w:val="auto"/>
          <w:sz w:val="24"/>
          <w:szCs w:val="24"/>
        </w:rPr>
      </w:pPr>
      <w:r>
        <w:rPr>
          <w:rFonts w:hAnsi="Times New Roman"/>
          <w:color w:val="auto"/>
          <w:sz w:val="24"/>
          <w:szCs w:val="24"/>
        </w:rPr>
        <w:t xml:space="preserve">7.9 </w:t>
      </w:r>
      <w:r>
        <w:rPr>
          <w:rFonts w:hint="eastAsia" w:ascii="黑体" w:hAnsi="Times New Roman" w:eastAsia="黑体" w:cs="黑体"/>
          <w:color w:val="auto"/>
          <w:sz w:val="24"/>
          <w:szCs w:val="24"/>
        </w:rPr>
        <w:t>签订合同</w:t>
      </w:r>
    </w:p>
    <w:p>
      <w:pPr>
        <w:autoSpaceDE w:val="0"/>
        <w:autoSpaceDN w:val="0"/>
        <w:snapToGrid w:val="0"/>
        <w:spacing w:line="360" w:lineRule="auto"/>
        <w:ind w:firstLine="480"/>
        <w:jc w:val="left"/>
        <w:rPr>
          <w:rFonts w:hAnsi="Times New Roman"/>
          <w:color w:val="auto"/>
          <w:sz w:val="24"/>
          <w:szCs w:val="24"/>
        </w:rPr>
      </w:pPr>
      <w:r>
        <w:rPr>
          <w:rFonts w:hAnsi="Times New Roman" w:eastAsia="黑体"/>
          <w:color w:val="auto"/>
          <w:sz w:val="24"/>
          <w:szCs w:val="24"/>
        </w:rPr>
        <w:t xml:space="preserve">7.9.1 </w:t>
      </w:r>
      <w:r>
        <w:rPr>
          <w:rFonts w:hint="eastAsia" w:hAnsi="Times New Roman" w:cs="宋体"/>
          <w:color w:val="auto"/>
          <w:sz w:val="24"/>
          <w:szCs w:val="24"/>
        </w:rPr>
        <w:t>招标人和中标人应在中标通知书发出之日起</w:t>
      </w:r>
      <w:r>
        <w:rPr>
          <w:rFonts w:hAnsi="Times New Roman"/>
          <w:color w:val="auto"/>
          <w:sz w:val="24"/>
          <w:szCs w:val="24"/>
        </w:rPr>
        <w:t>30</w:t>
      </w:r>
      <w:r>
        <w:rPr>
          <w:rFonts w:hint="eastAsia" w:hAnsi="Times New Roman" w:cs="宋体"/>
          <w:color w:val="auto"/>
          <w:sz w:val="24"/>
          <w:szCs w:val="24"/>
        </w:rPr>
        <w:t>日内，根据招标文件和中标人的投标文件订立书面合同。中标人无正当理由拒签合同，在签订合同时向招标人提出附加条件，或不按照招标文件要求提交履约保证金的，招标人取消其中标资格，其投标保证金不予退还；给招标人造成的损失超过投标保证金数额的，中标人还应对超过部分予以赔偿。</w:t>
      </w:r>
    </w:p>
    <w:p>
      <w:pPr>
        <w:autoSpaceDE w:val="0"/>
        <w:autoSpaceDN w:val="0"/>
        <w:snapToGrid w:val="0"/>
        <w:spacing w:line="360" w:lineRule="auto"/>
        <w:ind w:firstLine="480"/>
        <w:jc w:val="left"/>
        <w:rPr>
          <w:rFonts w:hAnsi="Times New Roman"/>
          <w:color w:val="auto"/>
          <w:sz w:val="24"/>
          <w:szCs w:val="24"/>
        </w:rPr>
      </w:pPr>
      <w:r>
        <w:rPr>
          <w:rFonts w:hAnsi="Times New Roman"/>
          <w:color w:val="auto"/>
          <w:sz w:val="24"/>
          <w:szCs w:val="24"/>
        </w:rPr>
        <w:t xml:space="preserve">7.9.2 </w:t>
      </w:r>
      <w:r>
        <w:rPr>
          <w:rFonts w:hint="eastAsia" w:hAnsi="Times New Roman" w:cs="宋体"/>
          <w:color w:val="auto"/>
          <w:sz w:val="24"/>
          <w:szCs w:val="24"/>
        </w:rPr>
        <w:t>发出中标通知书后，招标人无正当理由拒签合同的，或在签订合同时向招标人提出附加条件的，招标人向中标人退还投标保证金；给中标人造成损失的，还应赔偿损失。</w:t>
      </w:r>
    </w:p>
    <w:p>
      <w:pPr>
        <w:autoSpaceDE w:val="0"/>
        <w:autoSpaceDN w:val="0"/>
        <w:snapToGrid w:val="0"/>
        <w:spacing w:line="360" w:lineRule="auto"/>
        <w:ind w:firstLine="480"/>
        <w:jc w:val="left"/>
        <w:rPr>
          <w:rFonts w:ascii="宋体" w:hAnsi="Times New Roman" w:cs="宋体"/>
          <w:color w:val="auto"/>
          <w:kern w:val="0"/>
          <w:sz w:val="24"/>
          <w:szCs w:val="24"/>
        </w:rPr>
      </w:pPr>
      <w:r>
        <w:rPr>
          <w:rFonts w:hint="eastAsia" w:ascii="宋体" w:hAnsi="Times New Roman" w:cs="宋体"/>
          <w:color w:val="auto"/>
          <w:kern w:val="0"/>
          <w:sz w:val="24"/>
          <w:szCs w:val="24"/>
        </w:rPr>
        <w:t>招标人不得以压低勘察设计费、增加工作量、缩短勘察设计服务期限等作为中标的条件，不得与中标人再行订立背离合同实质性内容的其他协议。</w:t>
      </w:r>
    </w:p>
    <w:p>
      <w:pPr>
        <w:autoSpaceDE w:val="0"/>
        <w:autoSpaceDN w:val="0"/>
        <w:snapToGrid w:val="0"/>
        <w:spacing w:line="360" w:lineRule="auto"/>
        <w:ind w:firstLine="480"/>
        <w:jc w:val="left"/>
        <w:rPr>
          <w:rFonts w:hAnsi="Times New Roman" w:cs="Times New Roman"/>
          <w:color w:val="auto"/>
          <w:sz w:val="24"/>
          <w:szCs w:val="24"/>
        </w:rPr>
      </w:pPr>
      <w:r>
        <w:rPr>
          <w:rFonts w:hAnsi="Times New Roman"/>
          <w:color w:val="auto"/>
          <w:sz w:val="24"/>
          <w:szCs w:val="24"/>
        </w:rPr>
        <w:t xml:space="preserve">7.9.3 </w:t>
      </w:r>
      <w:r>
        <w:rPr>
          <w:rFonts w:hint="eastAsia" w:hAnsi="Times New Roman" w:cs="宋体"/>
          <w:color w:val="auto"/>
          <w:sz w:val="24"/>
          <w:szCs w:val="24"/>
        </w:rPr>
        <w:t>签约合同的确定原则如下：</w:t>
      </w:r>
    </w:p>
    <w:p>
      <w:pPr>
        <w:autoSpaceDE w:val="0"/>
        <w:autoSpaceDN w:val="0"/>
        <w:snapToGrid w:val="0"/>
        <w:spacing w:line="360" w:lineRule="auto"/>
        <w:ind w:firstLine="480"/>
        <w:jc w:val="left"/>
        <w:rPr>
          <w:rFonts w:hAnsi="Times New Roman" w:cs="Times New Roman"/>
          <w:color w:val="auto"/>
          <w:sz w:val="24"/>
          <w:szCs w:val="24"/>
        </w:rPr>
      </w:pPr>
      <w:r>
        <w:rPr>
          <w:rFonts w:hint="eastAsia" w:hAnsi="Times New Roman" w:cs="宋体"/>
          <w:color w:val="auto"/>
          <w:sz w:val="24"/>
          <w:szCs w:val="24"/>
        </w:rPr>
        <w:t>（</w:t>
      </w:r>
      <w:r>
        <w:rPr>
          <w:rFonts w:hAnsi="Times New Roman"/>
          <w:color w:val="auto"/>
          <w:sz w:val="24"/>
          <w:szCs w:val="24"/>
        </w:rPr>
        <w:t>1</w:t>
      </w:r>
      <w:r>
        <w:rPr>
          <w:rFonts w:hint="eastAsia" w:hAnsi="Times New Roman" w:cs="宋体"/>
          <w:color w:val="auto"/>
          <w:sz w:val="24"/>
          <w:szCs w:val="24"/>
        </w:rPr>
        <w:t>）按照评标办法规定对投标报价进行修正后，若修正后的最终投标报价小于开标时的投标函大写金额报价，则签订合同时以修正后的最终投标报价为准；</w:t>
      </w:r>
    </w:p>
    <w:p>
      <w:pPr>
        <w:autoSpaceDE w:val="0"/>
        <w:autoSpaceDN w:val="0"/>
        <w:snapToGrid w:val="0"/>
        <w:spacing w:line="360" w:lineRule="auto"/>
        <w:ind w:firstLine="480"/>
        <w:jc w:val="left"/>
        <w:rPr>
          <w:rFonts w:hAnsi="Times New Roman" w:cs="Times New Roman"/>
          <w:color w:val="auto"/>
          <w:sz w:val="24"/>
          <w:szCs w:val="24"/>
        </w:rPr>
      </w:pPr>
      <w:r>
        <w:rPr>
          <w:rFonts w:hint="eastAsia" w:hAnsi="Times New Roman" w:cs="宋体"/>
          <w:color w:val="auto"/>
          <w:sz w:val="24"/>
          <w:szCs w:val="24"/>
        </w:rPr>
        <w:t>（</w:t>
      </w:r>
      <w:r>
        <w:rPr>
          <w:rFonts w:hAnsi="Times New Roman"/>
          <w:color w:val="auto"/>
          <w:sz w:val="24"/>
          <w:szCs w:val="24"/>
        </w:rPr>
        <w:t>2</w:t>
      </w:r>
      <w:r>
        <w:rPr>
          <w:rFonts w:hint="eastAsia" w:hAnsi="Times New Roman" w:cs="宋体"/>
          <w:color w:val="auto"/>
          <w:sz w:val="24"/>
          <w:szCs w:val="24"/>
        </w:rPr>
        <w:t>）按照评标办法规定对投标报价进行修正后，若修正后的最终投标报价大于开标时的投标函大写金额报价，则签订合同时以开标时的投标函大写金额报价为准，同时按比例修正相应子目的单价或合价。</w:t>
      </w:r>
    </w:p>
    <w:p>
      <w:pPr>
        <w:autoSpaceDE w:val="0"/>
        <w:autoSpaceDN w:val="0"/>
        <w:snapToGrid w:val="0"/>
        <w:spacing w:line="360" w:lineRule="auto"/>
        <w:ind w:firstLine="480"/>
        <w:jc w:val="left"/>
        <w:rPr>
          <w:rFonts w:hAnsi="Times New Roman" w:cs="Times New Roman"/>
          <w:color w:val="auto"/>
          <w:sz w:val="24"/>
          <w:szCs w:val="24"/>
        </w:rPr>
      </w:pPr>
      <w:r>
        <w:rPr>
          <w:rFonts w:hAnsi="Times New Roman"/>
          <w:color w:val="auto"/>
          <w:sz w:val="24"/>
          <w:szCs w:val="24"/>
        </w:rPr>
        <w:t xml:space="preserve">7.9.4 </w:t>
      </w:r>
      <w:r>
        <w:rPr>
          <w:rFonts w:hint="eastAsia" w:hAnsi="Times New Roman" w:cs="宋体"/>
          <w:color w:val="auto"/>
          <w:sz w:val="24"/>
          <w:szCs w:val="24"/>
        </w:rPr>
        <w:t>联合体中标的，联合体各方应共同与中标人签订合同，就中标项目向招标人承担连带责任。</w:t>
      </w:r>
    </w:p>
    <w:p>
      <w:pPr>
        <w:autoSpaceDE w:val="0"/>
        <w:autoSpaceDN w:val="0"/>
        <w:snapToGrid w:val="0"/>
        <w:spacing w:line="360" w:lineRule="auto"/>
        <w:ind w:firstLine="480"/>
        <w:jc w:val="left"/>
        <w:rPr>
          <w:rFonts w:hAnsi="Times New Roman" w:cs="Times New Roman"/>
          <w:color w:val="auto"/>
          <w:sz w:val="24"/>
          <w:szCs w:val="24"/>
        </w:rPr>
      </w:pPr>
      <w:r>
        <w:rPr>
          <w:rFonts w:hAnsi="Times New Roman"/>
          <w:color w:val="auto"/>
          <w:sz w:val="24"/>
          <w:szCs w:val="24"/>
        </w:rPr>
        <w:t xml:space="preserve">7.9.5 </w:t>
      </w:r>
      <w:r>
        <w:rPr>
          <w:rFonts w:hint="eastAsia" w:hAnsi="Times New Roman" w:cs="宋体"/>
          <w:color w:val="auto"/>
          <w:sz w:val="24"/>
          <w:szCs w:val="24"/>
        </w:rPr>
        <w:t>招标人和中标人在签订合同协议书的同时，须按照本招标文件规定的格式和要求签订廉政合同，明确双方在廉政建设方面的权利和义务以及应承担的违约责任。</w:t>
      </w:r>
    </w:p>
    <w:p>
      <w:pPr>
        <w:autoSpaceDE w:val="0"/>
        <w:autoSpaceDN w:val="0"/>
        <w:snapToGrid w:val="0"/>
        <w:spacing w:line="360" w:lineRule="auto"/>
        <w:jc w:val="left"/>
        <w:rPr>
          <w:rFonts w:ascii="黑体" w:hAnsi="黑体" w:eastAsia="黑体" w:cs="黑体"/>
          <w:b/>
          <w:bCs/>
          <w:color w:val="auto"/>
          <w:sz w:val="30"/>
          <w:szCs w:val="30"/>
        </w:rPr>
      </w:pPr>
      <w:r>
        <w:rPr>
          <w:rFonts w:ascii="黑体" w:hAnsi="黑体" w:eastAsia="黑体" w:cs="黑体"/>
          <w:b/>
          <w:bCs/>
          <w:color w:val="auto"/>
          <w:sz w:val="30"/>
          <w:szCs w:val="30"/>
        </w:rPr>
        <w:t xml:space="preserve">8. </w:t>
      </w:r>
      <w:r>
        <w:rPr>
          <w:rFonts w:hint="eastAsia" w:ascii="黑体" w:hAnsi="黑体" w:eastAsia="黑体" w:cs="黑体"/>
          <w:b/>
          <w:bCs/>
          <w:color w:val="auto"/>
          <w:sz w:val="30"/>
          <w:szCs w:val="30"/>
        </w:rPr>
        <w:t>纪律和监督</w:t>
      </w:r>
    </w:p>
    <w:p>
      <w:pPr>
        <w:autoSpaceDE w:val="0"/>
        <w:autoSpaceDN w:val="0"/>
        <w:snapToGrid w:val="0"/>
        <w:spacing w:line="360" w:lineRule="auto"/>
        <w:jc w:val="left"/>
        <w:rPr>
          <w:rFonts w:ascii="黑体" w:hAnsi="Times New Roman" w:eastAsia="黑体" w:cs="黑体"/>
          <w:color w:val="auto"/>
          <w:sz w:val="24"/>
          <w:szCs w:val="24"/>
        </w:rPr>
      </w:pPr>
      <w:r>
        <w:rPr>
          <w:rFonts w:hAnsi="Times New Roman" w:eastAsia="黑体"/>
          <w:color w:val="auto"/>
          <w:sz w:val="24"/>
          <w:szCs w:val="24"/>
        </w:rPr>
        <w:t xml:space="preserve">8.1 </w:t>
      </w:r>
      <w:r>
        <w:rPr>
          <w:rFonts w:hint="eastAsia" w:ascii="黑体" w:hAnsi="Times New Roman" w:eastAsia="黑体" w:cs="黑体"/>
          <w:color w:val="auto"/>
          <w:sz w:val="24"/>
          <w:szCs w:val="24"/>
        </w:rPr>
        <w:t>对招标人的纪律要求</w:t>
      </w:r>
    </w:p>
    <w:p>
      <w:pPr>
        <w:autoSpaceDE w:val="0"/>
        <w:autoSpaceDN w:val="0"/>
        <w:snapToGrid w:val="0"/>
        <w:spacing w:line="360" w:lineRule="auto"/>
        <w:ind w:firstLine="480"/>
        <w:jc w:val="left"/>
        <w:rPr>
          <w:rFonts w:hAnsi="Times New Roman"/>
          <w:color w:val="auto"/>
          <w:sz w:val="24"/>
          <w:szCs w:val="24"/>
        </w:rPr>
      </w:pPr>
      <w:r>
        <w:rPr>
          <w:rFonts w:hint="eastAsia" w:hAnsi="Times New Roman" w:cs="宋体"/>
          <w:color w:val="auto"/>
          <w:sz w:val="24"/>
          <w:szCs w:val="24"/>
        </w:rPr>
        <w:t>招标人不得泄漏招标投标活动中应当保密的情况和资料，不得与投标人串通损害国家利益、社会公共利益或者他人合法权益。</w:t>
      </w:r>
    </w:p>
    <w:p>
      <w:pPr>
        <w:autoSpaceDE w:val="0"/>
        <w:autoSpaceDN w:val="0"/>
        <w:snapToGrid w:val="0"/>
        <w:spacing w:line="360" w:lineRule="auto"/>
        <w:jc w:val="left"/>
        <w:rPr>
          <w:rFonts w:ascii="黑体" w:hAnsi="Times New Roman" w:eastAsia="黑体" w:cs="黑体"/>
          <w:color w:val="auto"/>
          <w:sz w:val="24"/>
          <w:szCs w:val="24"/>
        </w:rPr>
      </w:pPr>
      <w:r>
        <w:rPr>
          <w:rFonts w:hAnsi="Times New Roman"/>
          <w:color w:val="auto"/>
          <w:sz w:val="24"/>
          <w:szCs w:val="24"/>
        </w:rPr>
        <w:t xml:space="preserve">8.2 </w:t>
      </w:r>
      <w:r>
        <w:rPr>
          <w:rFonts w:hint="eastAsia" w:ascii="黑体" w:hAnsi="Times New Roman" w:eastAsia="黑体" w:cs="黑体"/>
          <w:color w:val="auto"/>
          <w:sz w:val="24"/>
          <w:szCs w:val="24"/>
        </w:rPr>
        <w:t>对投标人的纪律要求</w:t>
      </w:r>
    </w:p>
    <w:p>
      <w:pPr>
        <w:autoSpaceDE w:val="0"/>
        <w:autoSpaceDN w:val="0"/>
        <w:snapToGrid w:val="0"/>
        <w:spacing w:line="360" w:lineRule="auto"/>
        <w:ind w:firstLine="480"/>
        <w:jc w:val="left"/>
        <w:rPr>
          <w:rFonts w:hAnsi="Times New Roman"/>
          <w:color w:val="auto"/>
          <w:sz w:val="24"/>
          <w:szCs w:val="24"/>
        </w:rPr>
      </w:pPr>
      <w:r>
        <w:rPr>
          <w:rFonts w:hint="eastAsia" w:hAnsi="Times New Roman" w:cs="宋体"/>
          <w:color w:val="auto"/>
          <w:sz w:val="24"/>
          <w:szCs w:val="24"/>
        </w:rPr>
        <w:t>投标人不得相互串通投标或与招标人串通投标，不得向招标人或评标委员会成员行贿谋取中标，不得以他人名义投标或以其他方式弄虚作假骗取中标；投标人不得以任何方式干扰、影响评标工作。</w:t>
      </w:r>
    </w:p>
    <w:p>
      <w:pPr>
        <w:autoSpaceDE w:val="0"/>
        <w:autoSpaceDN w:val="0"/>
        <w:snapToGrid w:val="0"/>
        <w:spacing w:line="360" w:lineRule="auto"/>
        <w:jc w:val="left"/>
        <w:rPr>
          <w:rFonts w:ascii="黑体" w:hAnsi="Times New Roman" w:eastAsia="黑体" w:cs="黑体"/>
          <w:color w:val="auto"/>
          <w:sz w:val="24"/>
          <w:szCs w:val="24"/>
        </w:rPr>
      </w:pPr>
      <w:r>
        <w:rPr>
          <w:rFonts w:hAnsi="Times New Roman"/>
          <w:color w:val="auto"/>
          <w:sz w:val="24"/>
          <w:szCs w:val="24"/>
        </w:rPr>
        <w:t xml:space="preserve">8.3 </w:t>
      </w:r>
      <w:r>
        <w:rPr>
          <w:rFonts w:hint="eastAsia" w:ascii="黑体" w:hAnsi="Times New Roman" w:eastAsia="黑体" w:cs="黑体"/>
          <w:color w:val="auto"/>
          <w:sz w:val="24"/>
          <w:szCs w:val="24"/>
        </w:rPr>
        <w:t>对评标委员会成员的纪律要求</w:t>
      </w:r>
    </w:p>
    <w:p>
      <w:pPr>
        <w:autoSpaceDE w:val="0"/>
        <w:autoSpaceDN w:val="0"/>
        <w:snapToGrid w:val="0"/>
        <w:spacing w:line="360" w:lineRule="auto"/>
        <w:ind w:firstLine="480"/>
        <w:jc w:val="left"/>
        <w:rPr>
          <w:rFonts w:hAnsi="Times New Roman"/>
          <w:color w:val="auto"/>
          <w:sz w:val="24"/>
          <w:szCs w:val="24"/>
        </w:rPr>
      </w:pPr>
      <w:r>
        <w:rPr>
          <w:rFonts w:hint="eastAsia" w:hAnsi="Times New Roman" w:cs="宋体"/>
          <w:color w:val="auto"/>
          <w:sz w:val="24"/>
          <w:szCs w:val="24"/>
        </w:rPr>
        <w:t>评标委员会成员不得收受他人的财物或其他好处，不得向他人透漏对投标文件的评审和比较、中标候选人的推荐情况以及评标有关的其他情况。在评标活动中，评标委员会成员应客观、公正地履行职责，遵守职业道德，不得擅离职守，影响评标程序正常进行，不得使用第三章“评标办法”没有规定的评审因素和标准进行评标。</w:t>
      </w:r>
    </w:p>
    <w:p>
      <w:pPr>
        <w:autoSpaceDE w:val="0"/>
        <w:autoSpaceDN w:val="0"/>
        <w:snapToGrid w:val="0"/>
        <w:spacing w:line="360" w:lineRule="auto"/>
        <w:jc w:val="left"/>
        <w:rPr>
          <w:rFonts w:ascii="黑体" w:hAnsi="Times New Roman" w:eastAsia="黑体" w:cs="黑体"/>
          <w:color w:val="auto"/>
          <w:sz w:val="24"/>
          <w:szCs w:val="24"/>
        </w:rPr>
      </w:pPr>
      <w:r>
        <w:rPr>
          <w:rFonts w:hAnsi="Times New Roman"/>
          <w:color w:val="auto"/>
          <w:sz w:val="24"/>
          <w:szCs w:val="24"/>
        </w:rPr>
        <w:t xml:space="preserve">8.4 </w:t>
      </w:r>
      <w:r>
        <w:rPr>
          <w:rFonts w:hint="eastAsia" w:ascii="黑体" w:hAnsi="Times New Roman" w:eastAsia="黑体" w:cs="黑体"/>
          <w:color w:val="auto"/>
          <w:sz w:val="24"/>
          <w:szCs w:val="24"/>
        </w:rPr>
        <w:t>对与评标活动有关的工作人员的纪律要求</w:t>
      </w:r>
    </w:p>
    <w:p>
      <w:pPr>
        <w:autoSpaceDE w:val="0"/>
        <w:autoSpaceDN w:val="0"/>
        <w:snapToGrid w:val="0"/>
        <w:spacing w:line="360" w:lineRule="auto"/>
        <w:ind w:firstLine="480"/>
        <w:jc w:val="left"/>
        <w:rPr>
          <w:rFonts w:hAnsi="Times New Roman" w:cs="Times New Roman"/>
          <w:color w:val="auto"/>
          <w:sz w:val="24"/>
          <w:szCs w:val="24"/>
        </w:rPr>
      </w:pPr>
      <w:r>
        <w:rPr>
          <w:rFonts w:hint="eastAsia" w:hAnsi="Times New Roman" w:cs="宋体"/>
          <w:color w:val="auto"/>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snapToGrid w:val="0"/>
        <w:spacing w:line="360" w:lineRule="auto"/>
        <w:jc w:val="left"/>
        <w:rPr>
          <w:rFonts w:ascii="黑体" w:hAnsi="Times New Roman" w:eastAsia="黑体" w:cs="Times New Roman"/>
          <w:color w:val="auto"/>
          <w:sz w:val="24"/>
          <w:szCs w:val="24"/>
        </w:rPr>
      </w:pPr>
      <w:r>
        <w:rPr>
          <w:rFonts w:hAnsi="Times New Roman"/>
          <w:color w:val="auto"/>
          <w:sz w:val="24"/>
          <w:szCs w:val="24"/>
        </w:rPr>
        <w:t xml:space="preserve">8.5 </w:t>
      </w:r>
      <w:r>
        <w:rPr>
          <w:rFonts w:hint="eastAsia" w:ascii="黑体" w:hAnsi="Times New Roman" w:eastAsia="黑体" w:cs="黑体"/>
          <w:color w:val="auto"/>
          <w:sz w:val="24"/>
          <w:szCs w:val="24"/>
        </w:rPr>
        <w:t>投诉</w:t>
      </w:r>
    </w:p>
    <w:p>
      <w:pPr>
        <w:autoSpaceDE w:val="0"/>
        <w:autoSpaceDN w:val="0"/>
        <w:snapToGrid w:val="0"/>
        <w:spacing w:line="360" w:lineRule="auto"/>
        <w:ind w:firstLine="480"/>
        <w:jc w:val="left"/>
        <w:rPr>
          <w:rFonts w:cs="Times New Roman"/>
          <w:color w:val="auto"/>
          <w:sz w:val="24"/>
          <w:szCs w:val="24"/>
        </w:rPr>
      </w:pPr>
      <w:r>
        <w:rPr>
          <w:rFonts w:hAnsi="Times New Roman"/>
          <w:color w:val="auto"/>
          <w:sz w:val="24"/>
          <w:szCs w:val="24"/>
        </w:rPr>
        <w:t xml:space="preserve">8.5.1 </w:t>
      </w:r>
      <w:r>
        <w:rPr>
          <w:rFonts w:hint="eastAsia" w:cs="宋体"/>
          <w:color w:val="auto"/>
          <w:sz w:val="24"/>
          <w:szCs w:val="24"/>
        </w:rPr>
        <w:t>投标人或其他利害关系人认为招标投标活动不符合法律、行政法规规定的，可以自知道或应当知道之日起</w:t>
      </w:r>
      <w:r>
        <w:rPr>
          <w:color w:val="auto"/>
          <w:sz w:val="24"/>
          <w:szCs w:val="24"/>
        </w:rPr>
        <w:t>10</w:t>
      </w:r>
      <w:r>
        <w:rPr>
          <w:rFonts w:hint="eastAsia" w:cs="宋体"/>
          <w:color w:val="auto"/>
          <w:sz w:val="24"/>
          <w:szCs w:val="24"/>
        </w:rPr>
        <w:t>日内向有关行政监督部门投诉。投诉应有明确的请求和必要的证明材料。</w:t>
      </w:r>
    </w:p>
    <w:p>
      <w:pPr>
        <w:autoSpaceDE w:val="0"/>
        <w:autoSpaceDN w:val="0"/>
        <w:snapToGrid w:val="0"/>
        <w:spacing w:line="360" w:lineRule="auto"/>
        <w:ind w:firstLine="480"/>
        <w:jc w:val="left"/>
        <w:rPr>
          <w:rFonts w:cs="Times New Roman"/>
          <w:color w:val="auto"/>
          <w:sz w:val="24"/>
          <w:szCs w:val="24"/>
        </w:rPr>
      </w:pPr>
      <w:r>
        <w:rPr>
          <w:rFonts w:hint="eastAsia" w:cs="宋体"/>
          <w:color w:val="auto"/>
          <w:sz w:val="24"/>
          <w:szCs w:val="24"/>
        </w:rPr>
        <w:t>监督部门的联系方式</w:t>
      </w:r>
      <w:r>
        <w:rPr>
          <w:rFonts w:hint="eastAsia" w:hAnsi="Times New Roman" w:cs="宋体"/>
          <w:color w:val="auto"/>
          <w:sz w:val="24"/>
          <w:szCs w:val="24"/>
        </w:rPr>
        <w:t>见投标人须知前附表</w:t>
      </w:r>
      <w:r>
        <w:rPr>
          <w:rFonts w:hint="eastAsia" w:cs="宋体"/>
          <w:color w:val="auto"/>
          <w:sz w:val="24"/>
          <w:szCs w:val="24"/>
        </w:rPr>
        <w:t>。</w:t>
      </w:r>
    </w:p>
    <w:p>
      <w:pPr>
        <w:autoSpaceDE w:val="0"/>
        <w:autoSpaceDN w:val="0"/>
        <w:snapToGrid w:val="0"/>
        <w:spacing w:line="360" w:lineRule="auto"/>
        <w:ind w:firstLine="480"/>
        <w:jc w:val="left"/>
        <w:rPr>
          <w:rFonts w:cs="Times New Roman"/>
          <w:color w:val="auto"/>
          <w:sz w:val="24"/>
          <w:szCs w:val="24"/>
        </w:rPr>
      </w:pPr>
      <w:r>
        <w:rPr>
          <w:rFonts w:hAnsi="Times New Roman"/>
          <w:color w:val="auto"/>
          <w:sz w:val="24"/>
          <w:szCs w:val="24"/>
        </w:rPr>
        <w:t xml:space="preserve">8.5.2 </w:t>
      </w:r>
      <w:r>
        <w:rPr>
          <w:rFonts w:hint="eastAsia" w:cs="宋体"/>
          <w:color w:val="auto"/>
          <w:sz w:val="24"/>
          <w:szCs w:val="24"/>
        </w:rPr>
        <w:t>投标人或其他利害关系人对招标文件、开标和评标结果提出投诉的，应按本章第</w:t>
      </w:r>
      <w:r>
        <w:rPr>
          <w:color w:val="auto"/>
          <w:sz w:val="24"/>
          <w:szCs w:val="24"/>
        </w:rPr>
        <w:t>2.4</w:t>
      </w:r>
      <w:r>
        <w:rPr>
          <w:rFonts w:hint="eastAsia" w:cs="宋体"/>
          <w:color w:val="auto"/>
          <w:sz w:val="24"/>
          <w:szCs w:val="24"/>
        </w:rPr>
        <w:t>款、第</w:t>
      </w:r>
      <w:r>
        <w:rPr>
          <w:color w:val="auto"/>
          <w:sz w:val="24"/>
          <w:szCs w:val="24"/>
        </w:rPr>
        <w:t>5.3</w:t>
      </w:r>
      <w:r>
        <w:rPr>
          <w:rFonts w:hint="eastAsia" w:cs="宋体"/>
          <w:color w:val="auto"/>
          <w:sz w:val="24"/>
          <w:szCs w:val="24"/>
        </w:rPr>
        <w:t>款和第</w:t>
      </w:r>
      <w:r>
        <w:rPr>
          <w:color w:val="auto"/>
          <w:sz w:val="24"/>
          <w:szCs w:val="24"/>
        </w:rPr>
        <w:t>7.2</w:t>
      </w:r>
      <w:r>
        <w:rPr>
          <w:rFonts w:hint="eastAsia" w:cs="宋体"/>
          <w:color w:val="auto"/>
          <w:sz w:val="24"/>
          <w:szCs w:val="24"/>
        </w:rPr>
        <w:t>款的规定先向招标人提出异议。异议答复期间不计算在第</w:t>
      </w:r>
      <w:r>
        <w:rPr>
          <w:color w:val="auto"/>
          <w:sz w:val="24"/>
          <w:szCs w:val="24"/>
        </w:rPr>
        <w:t>8.5.1</w:t>
      </w:r>
      <w:r>
        <w:rPr>
          <w:rFonts w:hint="eastAsia" w:cs="宋体"/>
          <w:color w:val="auto"/>
          <w:sz w:val="24"/>
          <w:szCs w:val="24"/>
        </w:rPr>
        <w:t>项规定的期限内。</w:t>
      </w:r>
    </w:p>
    <w:p>
      <w:pPr>
        <w:autoSpaceDE w:val="0"/>
        <w:autoSpaceDN w:val="0"/>
        <w:snapToGrid w:val="0"/>
        <w:spacing w:line="360" w:lineRule="auto"/>
        <w:jc w:val="left"/>
        <w:rPr>
          <w:rFonts w:ascii="黑体" w:hAnsi="黑体" w:eastAsia="黑体" w:cs="Times New Roman"/>
          <w:b/>
          <w:bCs/>
          <w:color w:val="auto"/>
          <w:sz w:val="30"/>
          <w:szCs w:val="30"/>
        </w:rPr>
      </w:pPr>
      <w:r>
        <w:rPr>
          <w:rFonts w:ascii="黑体" w:hAnsi="黑体" w:eastAsia="黑体" w:cs="黑体"/>
          <w:b/>
          <w:bCs/>
          <w:color w:val="auto"/>
          <w:sz w:val="30"/>
          <w:szCs w:val="30"/>
        </w:rPr>
        <w:t xml:space="preserve">9. </w:t>
      </w:r>
      <w:r>
        <w:rPr>
          <w:rFonts w:hint="eastAsia" w:ascii="黑体" w:hAnsi="黑体" w:eastAsia="黑体" w:cs="黑体"/>
          <w:b/>
          <w:bCs/>
          <w:color w:val="auto"/>
          <w:sz w:val="30"/>
          <w:szCs w:val="30"/>
        </w:rPr>
        <w:t>是否采用电子招标投标</w:t>
      </w:r>
    </w:p>
    <w:p>
      <w:pPr>
        <w:autoSpaceDE w:val="0"/>
        <w:autoSpaceDN w:val="0"/>
        <w:snapToGrid w:val="0"/>
        <w:spacing w:line="360" w:lineRule="auto"/>
        <w:ind w:firstLine="480"/>
        <w:jc w:val="left"/>
        <w:rPr>
          <w:rFonts w:cs="Times New Roman"/>
          <w:color w:val="auto"/>
          <w:sz w:val="24"/>
          <w:szCs w:val="24"/>
        </w:rPr>
      </w:pPr>
      <w:r>
        <w:rPr>
          <w:rFonts w:hint="eastAsia" w:cs="宋体"/>
          <w:color w:val="auto"/>
          <w:sz w:val="24"/>
          <w:szCs w:val="24"/>
        </w:rPr>
        <w:t>本招标项目是否采用电子招标投标方式，见投标人须知前附表。</w:t>
      </w:r>
    </w:p>
    <w:p>
      <w:pPr>
        <w:autoSpaceDE w:val="0"/>
        <w:autoSpaceDN w:val="0"/>
        <w:snapToGrid w:val="0"/>
        <w:spacing w:line="360" w:lineRule="auto"/>
        <w:jc w:val="left"/>
        <w:rPr>
          <w:rFonts w:ascii="黑体" w:hAnsi="黑体" w:eastAsia="黑体" w:cs="Times New Roman"/>
          <w:b/>
          <w:bCs/>
          <w:color w:val="auto"/>
          <w:sz w:val="30"/>
          <w:szCs w:val="30"/>
        </w:rPr>
      </w:pPr>
      <w:r>
        <w:rPr>
          <w:rFonts w:ascii="黑体" w:hAnsi="黑体" w:eastAsia="黑体" w:cs="黑体"/>
          <w:b/>
          <w:bCs/>
          <w:color w:val="auto"/>
          <w:sz w:val="30"/>
          <w:szCs w:val="30"/>
        </w:rPr>
        <w:t xml:space="preserve">10. </w:t>
      </w:r>
      <w:r>
        <w:rPr>
          <w:rFonts w:hint="eastAsia" w:ascii="黑体" w:hAnsi="黑体" w:eastAsia="黑体" w:cs="黑体"/>
          <w:b/>
          <w:bCs/>
          <w:color w:val="auto"/>
          <w:sz w:val="30"/>
          <w:szCs w:val="30"/>
        </w:rPr>
        <w:t>需要补充的其他内容</w:t>
      </w:r>
    </w:p>
    <w:p>
      <w:pPr>
        <w:autoSpaceDE w:val="0"/>
        <w:autoSpaceDN w:val="0"/>
        <w:snapToGrid w:val="0"/>
        <w:spacing w:line="360" w:lineRule="auto"/>
        <w:ind w:firstLine="480"/>
        <w:jc w:val="left"/>
        <w:rPr>
          <w:rFonts w:hAnsi="Times New Roman"/>
          <w:color w:val="auto"/>
          <w:sz w:val="24"/>
          <w:szCs w:val="24"/>
        </w:rPr>
      </w:pPr>
      <w:r>
        <w:rPr>
          <w:rFonts w:hAnsi="Times New Roman"/>
          <w:color w:val="auto"/>
          <w:sz w:val="24"/>
          <w:szCs w:val="24"/>
        </w:rPr>
        <w:t xml:space="preserve">10.1 </w:t>
      </w:r>
      <w:r>
        <w:rPr>
          <w:rFonts w:hint="eastAsia" w:hAnsi="Times New Roman" w:cs="宋体"/>
          <w:color w:val="auto"/>
          <w:sz w:val="24"/>
          <w:szCs w:val="24"/>
        </w:rPr>
        <w:t>自购买招标文件之日起，投标人应保证其提供的联系方式（电话、传真、电子邮件）一直有效，以便及时收到招标人发出的函件（招标文件的澄清、修改等），并应及时向招标人反馈信息，否则招标人不承担由此引起的一切后果。</w:t>
      </w:r>
    </w:p>
    <w:p>
      <w:pPr>
        <w:autoSpaceDE w:val="0"/>
        <w:autoSpaceDN w:val="0"/>
        <w:snapToGrid w:val="0"/>
        <w:spacing w:line="360" w:lineRule="auto"/>
        <w:jc w:val="left"/>
        <w:rPr>
          <w:rFonts w:ascii="黑体" w:hAnsi="Times New Roman" w:eastAsia="黑体" w:cs="Times New Roman"/>
          <w:color w:val="auto"/>
          <w:sz w:val="24"/>
          <w:szCs w:val="24"/>
        </w:rPr>
      </w:pPr>
    </w:p>
    <w:p>
      <w:pPr>
        <w:autoSpaceDE w:val="0"/>
        <w:autoSpaceDN w:val="0"/>
        <w:snapToGrid w:val="0"/>
        <w:spacing w:line="360" w:lineRule="auto"/>
        <w:ind w:firstLine="480"/>
        <w:jc w:val="left"/>
        <w:rPr>
          <w:rFonts w:hAnsi="Times New Roman"/>
          <w:color w:val="auto"/>
          <w:sz w:val="24"/>
          <w:szCs w:val="24"/>
        </w:rPr>
      </w:pPr>
      <w:r>
        <w:rPr>
          <w:rFonts w:hint="eastAsia" w:hAnsi="Times New Roman" w:cs="宋体"/>
          <w:color w:val="auto"/>
          <w:sz w:val="24"/>
          <w:szCs w:val="24"/>
        </w:rPr>
        <w:t>需要补充的其他内容：见投标人须知前附表。</w:t>
      </w:r>
    </w:p>
    <w:p>
      <w:pPr>
        <w:autoSpaceDE w:val="0"/>
        <w:autoSpaceDN w:val="0"/>
        <w:snapToGrid w:val="0"/>
        <w:spacing w:line="360" w:lineRule="auto"/>
        <w:ind w:firstLine="480"/>
        <w:jc w:val="center"/>
        <w:rPr>
          <w:rFonts w:ascii="黑体" w:hAnsi="Times New Roman" w:eastAsia="黑体" w:cs="Times New Roman"/>
          <w:b/>
          <w:bCs/>
          <w:color w:val="auto"/>
          <w:sz w:val="36"/>
          <w:szCs w:val="36"/>
        </w:rPr>
      </w:pPr>
      <w:r>
        <w:rPr>
          <w:rFonts w:hAnsi="Times New Roman" w:cs="Times New Roman"/>
          <w:color w:val="auto"/>
          <w:sz w:val="24"/>
          <w:szCs w:val="24"/>
        </w:rPr>
        <w:br w:type="page"/>
      </w:r>
      <w:r>
        <w:rPr>
          <w:rFonts w:hint="eastAsia" w:ascii="黑体" w:hAnsi="Times New Roman" w:eastAsia="黑体" w:cs="黑体"/>
          <w:b/>
          <w:bCs/>
          <w:color w:val="auto"/>
          <w:sz w:val="36"/>
          <w:szCs w:val="36"/>
        </w:rPr>
        <w:t>第三章评标办法（综合评估法）</w:t>
      </w:r>
    </w:p>
    <w:p>
      <w:pPr>
        <w:autoSpaceDE w:val="0"/>
        <w:autoSpaceDN w:val="0"/>
        <w:snapToGrid w:val="0"/>
        <w:spacing w:line="360" w:lineRule="auto"/>
        <w:ind w:firstLine="480"/>
        <w:jc w:val="left"/>
        <w:rPr>
          <w:rFonts w:cs="Times New Roman"/>
          <w:b/>
          <w:bCs/>
          <w:color w:val="auto"/>
          <w:sz w:val="24"/>
          <w:szCs w:val="24"/>
        </w:rPr>
      </w:pPr>
      <w:r>
        <w:rPr>
          <w:rFonts w:hint="eastAsia" w:cs="宋体"/>
          <w:b/>
          <w:bCs/>
          <w:color w:val="auto"/>
          <w:kern w:val="0"/>
          <w:sz w:val="24"/>
          <w:szCs w:val="24"/>
        </w:rPr>
        <w:t>评标办法前附表</w:t>
      </w:r>
    </w:p>
    <w:tbl>
      <w:tblPr>
        <w:tblStyle w:val="20"/>
        <w:tblW w:w="8904" w:type="dxa"/>
        <w:jc w:val="center"/>
        <w:tblLayout w:type="fixed"/>
        <w:tblCellMar>
          <w:top w:w="0" w:type="dxa"/>
          <w:left w:w="0" w:type="dxa"/>
          <w:bottom w:w="0" w:type="dxa"/>
          <w:right w:w="0" w:type="dxa"/>
        </w:tblCellMar>
      </w:tblPr>
      <w:tblGrid>
        <w:gridCol w:w="1150"/>
        <w:gridCol w:w="840"/>
        <w:gridCol w:w="6914"/>
      </w:tblGrid>
      <w:tr>
        <w:tblPrEx>
          <w:tblCellMar>
            <w:top w:w="0" w:type="dxa"/>
            <w:left w:w="0" w:type="dxa"/>
            <w:bottom w:w="0" w:type="dxa"/>
            <w:right w:w="0" w:type="dxa"/>
          </w:tblCellMar>
        </w:tblPrEx>
        <w:trPr>
          <w:trHeight w:val="360" w:hRule="atLeast"/>
          <w:jc w:val="center"/>
        </w:trPr>
        <w:tc>
          <w:tcPr>
            <w:tcW w:w="1990" w:type="dxa"/>
            <w:gridSpan w:val="2"/>
            <w:tcBorders>
              <w:top w:val="single" w:color="000000" w:sz="12" w:space="0"/>
              <w:left w:val="single" w:color="000000" w:sz="12" w:space="0"/>
              <w:bottom w:val="single" w:color="000000" w:sz="6" w:space="0"/>
              <w:right w:val="single" w:color="000000" w:sz="6" w:space="0"/>
            </w:tcBorders>
            <w:tcMar>
              <w:left w:w="108" w:type="dxa"/>
              <w:right w:w="108" w:type="dxa"/>
            </w:tcMar>
            <w:vAlign w:val="center"/>
          </w:tcPr>
          <w:p>
            <w:pPr>
              <w:autoSpaceDE w:val="0"/>
              <w:autoSpaceDN w:val="0"/>
              <w:snapToGrid w:val="0"/>
              <w:jc w:val="center"/>
              <w:rPr>
                <w:rFonts w:cs="Times New Roman"/>
                <w:b/>
                <w:bCs/>
                <w:color w:val="auto"/>
              </w:rPr>
            </w:pPr>
            <w:r>
              <w:rPr>
                <w:rFonts w:hint="eastAsia" w:cs="宋体"/>
                <w:b/>
                <w:bCs/>
                <w:color w:val="auto"/>
                <w:kern w:val="0"/>
              </w:rPr>
              <w:t>条款号</w:t>
            </w:r>
          </w:p>
        </w:tc>
        <w:tc>
          <w:tcPr>
            <w:tcW w:w="6914" w:type="dxa"/>
            <w:tcBorders>
              <w:top w:val="single" w:color="000000" w:sz="12" w:space="0"/>
              <w:left w:val="single" w:color="000000" w:sz="6" w:space="0"/>
              <w:bottom w:val="single" w:color="000000" w:sz="6" w:space="0"/>
              <w:right w:val="single" w:color="000000" w:sz="12" w:space="0"/>
            </w:tcBorders>
            <w:tcMar>
              <w:left w:w="108" w:type="dxa"/>
              <w:right w:w="108" w:type="dxa"/>
            </w:tcMar>
            <w:vAlign w:val="center"/>
          </w:tcPr>
          <w:p>
            <w:pPr>
              <w:autoSpaceDE w:val="0"/>
              <w:autoSpaceDN w:val="0"/>
              <w:snapToGrid w:val="0"/>
              <w:jc w:val="center"/>
              <w:rPr>
                <w:rFonts w:cs="Times New Roman"/>
                <w:b/>
                <w:bCs/>
                <w:color w:val="auto"/>
              </w:rPr>
            </w:pPr>
            <w:r>
              <w:rPr>
                <w:rFonts w:hint="eastAsia" w:cs="宋体"/>
                <w:b/>
                <w:bCs/>
                <w:color w:val="auto"/>
                <w:kern w:val="0"/>
              </w:rPr>
              <w:t>评审因素与评审标准</w:t>
            </w:r>
          </w:p>
        </w:tc>
      </w:tr>
      <w:tr>
        <w:tblPrEx>
          <w:tblCellMar>
            <w:top w:w="0" w:type="dxa"/>
            <w:left w:w="0" w:type="dxa"/>
            <w:bottom w:w="0" w:type="dxa"/>
            <w:right w:w="0" w:type="dxa"/>
          </w:tblCellMar>
        </w:tblPrEx>
        <w:trPr>
          <w:trHeight w:val="1003" w:hRule="atLeast"/>
          <w:jc w:val="center"/>
        </w:trPr>
        <w:tc>
          <w:tcPr>
            <w:tcW w:w="1150" w:type="dxa"/>
            <w:tcBorders>
              <w:top w:val="single" w:color="000000" w:sz="6" w:space="0"/>
              <w:left w:val="single" w:color="000000" w:sz="12" w:space="0"/>
              <w:bottom w:val="single" w:color="000000" w:sz="6" w:space="0"/>
              <w:right w:val="single" w:color="000000" w:sz="6" w:space="0"/>
            </w:tcBorders>
            <w:tcMar>
              <w:left w:w="108" w:type="dxa"/>
              <w:right w:w="108" w:type="dxa"/>
            </w:tcMar>
            <w:vAlign w:val="center"/>
          </w:tcPr>
          <w:p>
            <w:pPr>
              <w:autoSpaceDE w:val="0"/>
              <w:autoSpaceDN w:val="0"/>
              <w:snapToGrid w:val="0"/>
              <w:jc w:val="center"/>
              <w:rPr>
                <w:rFonts w:cs="Times New Roman"/>
                <w:color w:val="auto"/>
              </w:rPr>
            </w:pPr>
            <w:r>
              <w:rPr>
                <w:color w:val="auto"/>
                <w:kern w:val="0"/>
              </w:rPr>
              <w:t>1</w:t>
            </w:r>
          </w:p>
        </w:tc>
        <w:tc>
          <w:tcPr>
            <w:tcW w:w="840" w:type="dxa"/>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pPr>
              <w:autoSpaceDE w:val="0"/>
              <w:autoSpaceDN w:val="0"/>
              <w:snapToGrid w:val="0"/>
              <w:jc w:val="center"/>
              <w:rPr>
                <w:rFonts w:cs="Times New Roman"/>
                <w:color w:val="auto"/>
              </w:rPr>
            </w:pPr>
            <w:r>
              <w:rPr>
                <w:rFonts w:hint="eastAsia" w:cs="宋体"/>
                <w:color w:val="auto"/>
                <w:kern w:val="0"/>
              </w:rPr>
              <w:t>评标办法</w:t>
            </w:r>
          </w:p>
        </w:tc>
        <w:tc>
          <w:tcPr>
            <w:tcW w:w="6914" w:type="dxa"/>
            <w:tcBorders>
              <w:top w:val="single" w:color="000000" w:sz="6" w:space="0"/>
              <w:left w:val="single" w:color="000000" w:sz="6" w:space="0"/>
              <w:bottom w:val="single" w:color="000000" w:sz="6" w:space="0"/>
              <w:right w:val="single" w:color="000000" w:sz="12" w:space="0"/>
            </w:tcBorders>
            <w:tcMar>
              <w:left w:w="108" w:type="dxa"/>
              <w:right w:w="108" w:type="dxa"/>
            </w:tcMar>
            <w:vAlign w:val="center"/>
          </w:tcPr>
          <w:p>
            <w:pPr>
              <w:autoSpaceDE w:val="0"/>
              <w:autoSpaceDN w:val="0"/>
              <w:snapToGrid w:val="0"/>
              <w:spacing w:line="276" w:lineRule="auto"/>
              <w:ind w:firstLine="420"/>
              <w:jc w:val="left"/>
              <w:rPr>
                <w:rFonts w:cs="Times New Roman"/>
                <w:color w:val="auto"/>
                <w:kern w:val="0"/>
              </w:rPr>
            </w:pPr>
            <w:r>
              <w:rPr>
                <w:rFonts w:hint="eastAsia" w:cs="宋体"/>
                <w:color w:val="auto"/>
                <w:kern w:val="0"/>
              </w:rPr>
              <w:t>综合评分相等时</w:t>
            </w:r>
            <w:r>
              <w:rPr>
                <w:color w:val="auto"/>
                <w:kern w:val="0"/>
              </w:rPr>
              <w:t>,</w:t>
            </w:r>
            <w:r>
              <w:rPr>
                <w:rFonts w:hint="eastAsia" w:cs="宋体"/>
                <w:color w:val="auto"/>
                <w:kern w:val="0"/>
              </w:rPr>
              <w:t>评标委员会依次按照以下优先顺序推荐中标候选人或确定中标人：</w:t>
            </w:r>
          </w:p>
          <w:p>
            <w:pPr>
              <w:autoSpaceDE w:val="0"/>
              <w:autoSpaceDN w:val="0"/>
              <w:snapToGrid w:val="0"/>
              <w:spacing w:line="276" w:lineRule="auto"/>
              <w:ind w:firstLine="420"/>
              <w:jc w:val="left"/>
              <w:rPr>
                <w:color w:val="auto"/>
                <w:kern w:val="0"/>
              </w:rPr>
            </w:pPr>
            <w:r>
              <w:rPr>
                <w:rFonts w:hint="eastAsia" w:cs="宋体"/>
                <w:color w:val="auto"/>
                <w:kern w:val="0"/>
              </w:rPr>
              <w:t>（</w:t>
            </w:r>
            <w:r>
              <w:rPr>
                <w:color w:val="auto"/>
                <w:kern w:val="0"/>
              </w:rPr>
              <w:t>1</w:t>
            </w:r>
            <w:r>
              <w:rPr>
                <w:rFonts w:hint="eastAsia" w:cs="宋体"/>
                <w:color w:val="auto"/>
                <w:kern w:val="0"/>
              </w:rPr>
              <w:t>）评标价低的投标人优先；</w:t>
            </w:r>
          </w:p>
          <w:p>
            <w:pPr>
              <w:autoSpaceDE w:val="0"/>
              <w:autoSpaceDN w:val="0"/>
              <w:snapToGrid w:val="0"/>
              <w:spacing w:line="276" w:lineRule="auto"/>
              <w:ind w:firstLine="420"/>
              <w:jc w:val="left"/>
              <w:rPr>
                <w:rFonts w:cs="Times New Roman"/>
                <w:color w:val="auto"/>
                <w:kern w:val="0"/>
              </w:rPr>
            </w:pPr>
            <w:r>
              <w:rPr>
                <w:rFonts w:hint="eastAsia" w:cs="宋体"/>
                <w:color w:val="auto"/>
                <w:kern w:val="0"/>
              </w:rPr>
              <w:t>（</w:t>
            </w:r>
            <w:r>
              <w:rPr>
                <w:color w:val="auto"/>
                <w:kern w:val="0"/>
              </w:rPr>
              <w:t>2</w:t>
            </w:r>
            <w:r>
              <w:rPr>
                <w:rFonts w:hint="eastAsia" w:cs="宋体"/>
                <w:color w:val="auto"/>
                <w:kern w:val="0"/>
              </w:rPr>
              <w:t>）被天津市交通运输主管部门评为较高信用等级的投标人优先；</w:t>
            </w:r>
          </w:p>
          <w:p>
            <w:pPr>
              <w:autoSpaceDE w:val="0"/>
              <w:autoSpaceDN w:val="0"/>
              <w:snapToGrid w:val="0"/>
              <w:spacing w:line="276" w:lineRule="auto"/>
              <w:ind w:firstLine="420"/>
              <w:jc w:val="left"/>
              <w:rPr>
                <w:rFonts w:cs="Times New Roman"/>
                <w:color w:val="auto"/>
                <w:kern w:val="0"/>
              </w:rPr>
            </w:pPr>
            <w:r>
              <w:rPr>
                <w:rFonts w:hint="eastAsia" w:cs="宋体"/>
                <w:color w:val="auto"/>
                <w:kern w:val="0"/>
              </w:rPr>
              <w:t>（</w:t>
            </w:r>
            <w:r>
              <w:rPr>
                <w:color w:val="auto"/>
                <w:kern w:val="0"/>
              </w:rPr>
              <w:t>3</w:t>
            </w:r>
            <w:r>
              <w:rPr>
                <w:rFonts w:hint="eastAsia" w:cs="宋体"/>
                <w:color w:val="auto"/>
                <w:kern w:val="0"/>
              </w:rPr>
              <w:t>）商务和技术得分较高的投标人优先；</w:t>
            </w:r>
          </w:p>
          <w:p>
            <w:pPr>
              <w:ind w:firstLine="420" w:firstLineChars="200"/>
              <w:rPr>
                <w:rFonts w:cs="Times New Roman"/>
                <w:color w:val="auto"/>
              </w:rPr>
            </w:pPr>
            <w:r>
              <w:rPr>
                <w:rFonts w:hint="eastAsia" w:cs="宋体"/>
                <w:color w:val="auto"/>
                <w:kern w:val="0"/>
              </w:rPr>
              <w:t>（</w:t>
            </w:r>
            <w:r>
              <w:rPr>
                <w:color w:val="auto"/>
                <w:kern w:val="0"/>
              </w:rPr>
              <w:t>4</w:t>
            </w:r>
            <w:r>
              <w:rPr>
                <w:rFonts w:hint="eastAsia" w:cs="宋体"/>
                <w:color w:val="auto"/>
                <w:kern w:val="0"/>
              </w:rPr>
              <w:t>）以评标委员会推荐的投标人优先。</w:t>
            </w:r>
          </w:p>
        </w:tc>
      </w:tr>
      <w:tr>
        <w:tblPrEx>
          <w:tblCellMar>
            <w:top w:w="0" w:type="dxa"/>
            <w:left w:w="0" w:type="dxa"/>
            <w:bottom w:w="0" w:type="dxa"/>
            <w:right w:w="0" w:type="dxa"/>
          </w:tblCellMar>
        </w:tblPrEx>
        <w:trPr>
          <w:trHeight w:val="273" w:hRule="atLeast"/>
          <w:jc w:val="center"/>
        </w:trPr>
        <w:tc>
          <w:tcPr>
            <w:tcW w:w="1150" w:type="dxa"/>
            <w:tcBorders>
              <w:top w:val="single" w:color="000000" w:sz="6" w:space="0"/>
              <w:left w:val="single" w:color="000000" w:sz="12" w:space="0"/>
              <w:bottom w:val="single" w:color="000000" w:sz="12" w:space="0"/>
              <w:right w:val="single" w:color="000000" w:sz="6" w:space="0"/>
            </w:tcBorders>
            <w:tcMar>
              <w:left w:w="108" w:type="dxa"/>
              <w:right w:w="108" w:type="dxa"/>
            </w:tcMar>
            <w:vAlign w:val="center"/>
          </w:tcPr>
          <w:p>
            <w:pPr>
              <w:autoSpaceDE w:val="0"/>
              <w:autoSpaceDN w:val="0"/>
              <w:snapToGrid w:val="0"/>
              <w:jc w:val="center"/>
              <w:rPr>
                <w:rFonts w:cs="Times New Roman"/>
                <w:color w:val="auto"/>
              </w:rPr>
            </w:pPr>
            <w:r>
              <w:rPr>
                <w:color w:val="auto"/>
                <w:kern w:val="0"/>
              </w:rPr>
              <w:t>2.1.1</w:t>
            </w:r>
          </w:p>
          <w:p>
            <w:pPr>
              <w:autoSpaceDE w:val="0"/>
              <w:autoSpaceDN w:val="0"/>
              <w:snapToGrid w:val="0"/>
              <w:jc w:val="center"/>
              <w:rPr>
                <w:rFonts w:cs="Times New Roman"/>
                <w:color w:val="auto"/>
              </w:rPr>
            </w:pPr>
            <w:r>
              <w:rPr>
                <w:color w:val="auto"/>
                <w:kern w:val="0"/>
              </w:rPr>
              <w:t>2.1.3</w:t>
            </w:r>
          </w:p>
          <w:p>
            <w:pPr>
              <w:autoSpaceDE w:val="0"/>
              <w:autoSpaceDN w:val="0"/>
              <w:snapToGrid w:val="0"/>
              <w:jc w:val="center"/>
              <w:rPr>
                <w:rFonts w:cs="Times New Roman"/>
                <w:color w:val="auto"/>
                <w:sz w:val="20"/>
                <w:szCs w:val="20"/>
              </w:rPr>
            </w:pPr>
          </w:p>
        </w:tc>
        <w:tc>
          <w:tcPr>
            <w:tcW w:w="840" w:type="dxa"/>
            <w:tcBorders>
              <w:top w:val="single" w:color="000000" w:sz="6" w:space="0"/>
              <w:left w:val="single" w:color="000000" w:sz="6" w:space="0"/>
              <w:bottom w:val="single" w:color="000000" w:sz="12" w:space="0"/>
              <w:right w:val="single" w:color="000000" w:sz="6" w:space="0"/>
            </w:tcBorders>
            <w:tcMar>
              <w:left w:w="108" w:type="dxa"/>
              <w:right w:w="108" w:type="dxa"/>
            </w:tcMar>
            <w:vAlign w:val="center"/>
          </w:tcPr>
          <w:p>
            <w:pPr>
              <w:autoSpaceDE w:val="0"/>
              <w:autoSpaceDN w:val="0"/>
              <w:snapToGrid w:val="0"/>
              <w:jc w:val="center"/>
              <w:rPr>
                <w:rFonts w:cs="Times New Roman"/>
                <w:color w:val="auto"/>
              </w:rPr>
            </w:pPr>
            <w:r>
              <w:rPr>
                <w:rFonts w:hint="eastAsia" w:cs="宋体"/>
                <w:color w:val="auto"/>
                <w:kern w:val="0"/>
              </w:rPr>
              <w:t>形式评审与响应性评审标准</w:t>
            </w:r>
          </w:p>
          <w:p>
            <w:pPr>
              <w:autoSpaceDE w:val="0"/>
              <w:autoSpaceDN w:val="0"/>
              <w:snapToGrid w:val="0"/>
              <w:jc w:val="center"/>
              <w:rPr>
                <w:rFonts w:cs="Times New Roman"/>
                <w:color w:val="auto"/>
                <w:sz w:val="20"/>
                <w:szCs w:val="20"/>
              </w:rPr>
            </w:pPr>
          </w:p>
        </w:tc>
        <w:tc>
          <w:tcPr>
            <w:tcW w:w="6914" w:type="dxa"/>
            <w:tcBorders>
              <w:top w:val="single" w:color="000000" w:sz="6" w:space="0"/>
              <w:left w:val="single" w:color="000000" w:sz="6" w:space="0"/>
              <w:bottom w:val="single" w:color="000000" w:sz="12" w:space="0"/>
              <w:right w:val="single" w:color="000000" w:sz="12" w:space="0"/>
            </w:tcBorders>
            <w:tcMar>
              <w:left w:w="108" w:type="dxa"/>
              <w:right w:w="108" w:type="dxa"/>
            </w:tcMar>
            <w:vAlign w:val="center"/>
          </w:tcPr>
          <w:p>
            <w:pPr>
              <w:autoSpaceDE w:val="0"/>
              <w:autoSpaceDN w:val="0"/>
              <w:snapToGrid w:val="0"/>
              <w:spacing w:line="276" w:lineRule="auto"/>
              <w:ind w:firstLine="422"/>
              <w:jc w:val="left"/>
              <w:rPr>
                <w:rFonts w:cs="Times New Roman"/>
                <w:b/>
                <w:bCs/>
                <w:color w:val="auto"/>
              </w:rPr>
            </w:pPr>
            <w:r>
              <w:rPr>
                <w:rFonts w:hint="eastAsia" w:cs="宋体"/>
                <w:b/>
                <w:bCs/>
                <w:color w:val="auto"/>
                <w:kern w:val="0"/>
              </w:rPr>
              <w:t>第一个信封（商务及技术文件）评审标准：</w:t>
            </w:r>
          </w:p>
          <w:p>
            <w:pPr>
              <w:autoSpaceDE w:val="0"/>
              <w:autoSpaceDN w:val="0"/>
              <w:snapToGrid w:val="0"/>
              <w:spacing w:line="276" w:lineRule="auto"/>
              <w:ind w:firstLine="420"/>
              <w:jc w:val="left"/>
              <w:rPr>
                <w:rFonts w:cs="Times New Roman"/>
                <w:color w:val="auto"/>
              </w:rPr>
            </w:pPr>
            <w:r>
              <w:rPr>
                <w:rFonts w:hint="eastAsia" w:cs="宋体"/>
                <w:color w:val="auto"/>
                <w:kern w:val="0"/>
              </w:rPr>
              <w:t>（</w:t>
            </w:r>
            <w:r>
              <w:rPr>
                <w:color w:val="auto"/>
                <w:kern w:val="0"/>
              </w:rPr>
              <w:t>1</w:t>
            </w:r>
            <w:r>
              <w:rPr>
                <w:rFonts w:hint="eastAsia" w:cs="宋体"/>
                <w:color w:val="auto"/>
                <w:kern w:val="0"/>
              </w:rPr>
              <w:t>）投标文件按照招标文件规定的格式、内容填写，字迹清晰可辨：</w:t>
            </w:r>
          </w:p>
          <w:p>
            <w:pPr>
              <w:autoSpaceDE w:val="0"/>
              <w:autoSpaceDN w:val="0"/>
              <w:snapToGrid w:val="0"/>
              <w:spacing w:line="276" w:lineRule="auto"/>
              <w:ind w:firstLine="420"/>
              <w:jc w:val="left"/>
              <w:rPr>
                <w:rFonts w:cs="Times New Roman"/>
                <w:color w:val="auto"/>
              </w:rPr>
            </w:pPr>
            <w:r>
              <w:rPr>
                <w:color w:val="auto"/>
                <w:kern w:val="0"/>
              </w:rPr>
              <w:t>a.</w:t>
            </w:r>
            <w:r>
              <w:rPr>
                <w:rFonts w:hint="eastAsia" w:cs="宋体"/>
                <w:color w:val="auto"/>
                <w:kern w:val="0"/>
              </w:rPr>
              <w:t>投标函按招标文件规定填报了项目名称、补遗书编号（如有）、勘察服务期限、工程质量要求及安全目标；</w:t>
            </w:r>
          </w:p>
          <w:p>
            <w:pPr>
              <w:autoSpaceDE w:val="0"/>
              <w:autoSpaceDN w:val="0"/>
              <w:snapToGrid w:val="0"/>
              <w:spacing w:line="276" w:lineRule="auto"/>
              <w:ind w:firstLine="420"/>
              <w:jc w:val="left"/>
              <w:rPr>
                <w:rFonts w:cs="Times New Roman"/>
                <w:color w:val="auto"/>
              </w:rPr>
            </w:pPr>
            <w:r>
              <w:rPr>
                <w:color w:val="auto"/>
                <w:kern w:val="0"/>
              </w:rPr>
              <w:t>b.</w:t>
            </w:r>
            <w:r>
              <w:rPr>
                <w:rFonts w:hint="eastAsia" w:cs="宋体"/>
                <w:color w:val="auto"/>
                <w:kern w:val="0"/>
              </w:rPr>
              <w:t>投标文件组成齐全完整，内容均按规定填写。</w:t>
            </w:r>
          </w:p>
          <w:p>
            <w:pPr>
              <w:tabs>
                <w:tab w:val="left" w:pos="592"/>
              </w:tabs>
              <w:autoSpaceDE w:val="0"/>
              <w:autoSpaceDN w:val="0"/>
              <w:snapToGrid w:val="0"/>
              <w:spacing w:line="276" w:lineRule="auto"/>
              <w:ind w:firstLine="420"/>
              <w:rPr>
                <w:rFonts w:cs="Times New Roman"/>
                <w:color w:val="auto"/>
              </w:rPr>
            </w:pPr>
            <w:r>
              <w:rPr>
                <w:rFonts w:hint="eastAsia" w:cs="宋体"/>
                <w:color w:val="auto"/>
                <w:kern w:val="0"/>
              </w:rPr>
              <w:t>（</w:t>
            </w:r>
            <w:r>
              <w:rPr>
                <w:color w:val="auto"/>
                <w:kern w:val="0"/>
              </w:rPr>
              <w:t>2</w:t>
            </w:r>
            <w:r>
              <w:rPr>
                <w:rFonts w:hint="eastAsia" w:cs="宋体"/>
                <w:color w:val="auto"/>
                <w:kern w:val="0"/>
              </w:rPr>
              <w:t>）投标文件上法定代表人或其授权代理人的签字、投标人的单位章齐全，符合招标文件规定。</w:t>
            </w:r>
          </w:p>
          <w:p>
            <w:pPr>
              <w:autoSpaceDE w:val="0"/>
              <w:autoSpaceDN w:val="0"/>
              <w:snapToGrid w:val="0"/>
              <w:spacing w:line="276" w:lineRule="auto"/>
              <w:ind w:firstLine="420"/>
              <w:jc w:val="left"/>
              <w:rPr>
                <w:rFonts w:cs="Times New Roman"/>
                <w:color w:val="auto"/>
              </w:rPr>
            </w:pPr>
            <w:r>
              <w:rPr>
                <w:rFonts w:hint="eastAsia" w:cs="宋体"/>
                <w:color w:val="auto"/>
                <w:kern w:val="0"/>
              </w:rPr>
              <w:t>（</w:t>
            </w:r>
            <w:r>
              <w:rPr>
                <w:color w:val="auto"/>
                <w:kern w:val="0"/>
              </w:rPr>
              <w:t>3</w:t>
            </w:r>
            <w:r>
              <w:rPr>
                <w:rFonts w:hint="eastAsia" w:cs="宋体"/>
                <w:color w:val="auto"/>
                <w:kern w:val="0"/>
              </w:rPr>
              <w:t>）投标人按照招标文件的规定提供了投标保证金：</w:t>
            </w:r>
          </w:p>
          <w:p>
            <w:pPr>
              <w:autoSpaceDE w:val="0"/>
              <w:autoSpaceDN w:val="0"/>
              <w:snapToGrid w:val="0"/>
              <w:spacing w:line="276" w:lineRule="auto"/>
              <w:ind w:firstLine="420"/>
              <w:jc w:val="left"/>
              <w:rPr>
                <w:rFonts w:cs="Times New Roman"/>
                <w:color w:val="auto"/>
              </w:rPr>
            </w:pPr>
            <w:r>
              <w:rPr>
                <w:color w:val="auto"/>
                <w:kern w:val="0"/>
              </w:rPr>
              <w:t xml:space="preserve">a. </w:t>
            </w:r>
            <w:r>
              <w:rPr>
                <w:rFonts w:hint="eastAsia" w:cs="宋体"/>
                <w:color w:val="auto"/>
                <w:kern w:val="0"/>
              </w:rPr>
              <w:t>投标保证金金额符合招标文件规定的金额，且投标保证金有效期不少于投标有效期；</w:t>
            </w:r>
          </w:p>
          <w:p>
            <w:pPr>
              <w:autoSpaceDE w:val="0"/>
              <w:autoSpaceDN w:val="0"/>
              <w:snapToGrid w:val="0"/>
              <w:spacing w:line="276" w:lineRule="auto"/>
              <w:ind w:firstLine="420"/>
              <w:jc w:val="left"/>
              <w:rPr>
                <w:rFonts w:cs="Times New Roman"/>
                <w:color w:val="auto"/>
              </w:rPr>
            </w:pPr>
            <w:r>
              <w:rPr>
                <w:color w:val="auto"/>
                <w:kern w:val="0"/>
              </w:rPr>
              <w:t>b.</w:t>
            </w:r>
            <w:r>
              <w:rPr>
                <w:rFonts w:hint="eastAsia" w:cs="宋体"/>
                <w:color w:val="auto"/>
                <w:kern w:val="0"/>
              </w:rPr>
              <w:t>若投标保证金采用现金或支票形式提交，投标人应在递交投标文件截止时间之前，将投标保证金由投标人的基本账户转入招标人指定账户；</w:t>
            </w:r>
          </w:p>
          <w:p>
            <w:pPr>
              <w:autoSpaceDE w:val="0"/>
              <w:autoSpaceDN w:val="0"/>
              <w:snapToGrid w:val="0"/>
              <w:spacing w:line="276" w:lineRule="auto"/>
              <w:ind w:firstLine="420"/>
              <w:jc w:val="left"/>
              <w:rPr>
                <w:rFonts w:cs="Times New Roman"/>
                <w:color w:val="auto"/>
              </w:rPr>
            </w:pPr>
            <w:r>
              <w:rPr>
                <w:color w:val="auto"/>
                <w:kern w:val="0"/>
              </w:rPr>
              <w:t>c.</w:t>
            </w:r>
            <w:r>
              <w:rPr>
                <w:rFonts w:hint="eastAsia" w:cs="宋体"/>
                <w:color w:val="auto"/>
                <w:kern w:val="0"/>
              </w:rPr>
              <w:t>若投标保证金采用银行保函形式提交，银行保函的格式、开具保函的银行均满足招标文件要求，且在递交投标文件截止时间之前向招标人提交了银行保函原件。</w:t>
            </w:r>
          </w:p>
          <w:p>
            <w:pPr>
              <w:autoSpaceDE w:val="0"/>
              <w:autoSpaceDN w:val="0"/>
              <w:snapToGrid w:val="0"/>
              <w:ind w:firstLine="420"/>
              <w:jc w:val="left"/>
              <w:rPr>
                <w:rFonts w:cs="Times New Roman"/>
                <w:color w:val="auto"/>
              </w:rPr>
            </w:pPr>
            <w:r>
              <w:rPr>
                <w:rFonts w:hint="eastAsia" w:cs="宋体"/>
                <w:color w:val="auto"/>
                <w:kern w:val="0"/>
              </w:rPr>
              <w:t>（</w:t>
            </w:r>
            <w:r>
              <w:rPr>
                <w:color w:val="auto"/>
                <w:kern w:val="0"/>
              </w:rPr>
              <w:t>4</w:t>
            </w:r>
            <w:r>
              <w:rPr>
                <w:rFonts w:hint="eastAsia" w:cs="宋体"/>
                <w:color w:val="auto"/>
                <w:kern w:val="0"/>
              </w:rPr>
              <w:t>）投标人法定代表人授权委托代理人签署投标文件的，须提交授权委托书，且授权人和被授权人均在授权委托书上签名，未使用印章、签名章或其他电子制版签名代替。</w:t>
            </w:r>
          </w:p>
          <w:p>
            <w:pPr>
              <w:autoSpaceDE w:val="0"/>
              <w:autoSpaceDN w:val="0"/>
              <w:snapToGrid w:val="0"/>
              <w:ind w:firstLine="420"/>
              <w:jc w:val="left"/>
              <w:rPr>
                <w:rFonts w:cs="Times New Roman"/>
                <w:color w:val="auto"/>
                <w:kern w:val="0"/>
              </w:rPr>
            </w:pPr>
            <w:r>
              <w:rPr>
                <w:rFonts w:hint="eastAsia" w:cs="宋体"/>
                <w:color w:val="auto"/>
                <w:kern w:val="0"/>
              </w:rPr>
              <w:t>（</w:t>
            </w:r>
            <w:r>
              <w:rPr>
                <w:color w:val="auto"/>
                <w:kern w:val="0"/>
              </w:rPr>
              <w:t>5</w:t>
            </w:r>
            <w:r>
              <w:rPr>
                <w:rFonts w:hint="eastAsia" w:cs="宋体"/>
                <w:color w:val="auto"/>
                <w:kern w:val="0"/>
              </w:rPr>
              <w:t>）投标人法定代表人亲自签署投标文件的，提供了法定代表人身份证明，且法定代表人在法定代表人身份证明上签名未使用印章、签名章或其他电子制版签名代替。</w:t>
            </w:r>
          </w:p>
          <w:p>
            <w:pPr>
              <w:autoSpaceDE w:val="0"/>
              <w:autoSpaceDN w:val="0"/>
              <w:snapToGrid w:val="0"/>
              <w:ind w:firstLine="420"/>
              <w:jc w:val="left"/>
              <w:rPr>
                <w:rFonts w:cs="Times New Roman"/>
                <w:color w:val="auto"/>
                <w:kern w:val="0"/>
              </w:rPr>
            </w:pPr>
            <w:r>
              <w:rPr>
                <w:rFonts w:hint="eastAsia" w:cs="宋体"/>
                <w:color w:val="auto"/>
                <w:kern w:val="0"/>
              </w:rPr>
              <w:t>（</w:t>
            </w:r>
            <w:r>
              <w:rPr>
                <w:color w:val="auto"/>
                <w:kern w:val="0"/>
              </w:rPr>
              <w:t>6</w:t>
            </w:r>
            <w:r>
              <w:rPr>
                <w:rFonts w:hint="eastAsia" w:cs="宋体"/>
                <w:color w:val="auto"/>
                <w:kern w:val="0"/>
              </w:rPr>
              <w:t>）投标人以联合体形式投标时，联合体满足招标文件的要求：</w:t>
            </w:r>
          </w:p>
          <w:p>
            <w:pPr>
              <w:autoSpaceDE w:val="0"/>
              <w:autoSpaceDN w:val="0"/>
              <w:snapToGrid w:val="0"/>
              <w:ind w:firstLine="420"/>
              <w:jc w:val="left"/>
              <w:rPr>
                <w:rFonts w:cs="Times New Roman"/>
                <w:color w:val="auto"/>
                <w:kern w:val="0"/>
              </w:rPr>
            </w:pPr>
            <w:r>
              <w:rPr>
                <w:color w:val="auto"/>
                <w:kern w:val="0"/>
              </w:rPr>
              <w:t>a.</w:t>
            </w:r>
            <w:r>
              <w:rPr>
                <w:rFonts w:hint="eastAsia" w:cs="宋体"/>
                <w:color w:val="auto"/>
                <w:kern w:val="0"/>
              </w:rPr>
              <w:t>投标人按照招标文件提供的格式签订了联合体协议书，明确各方承担连带责任，并明确了联合体牵头人。</w:t>
            </w:r>
          </w:p>
          <w:p>
            <w:pPr>
              <w:autoSpaceDE w:val="0"/>
              <w:autoSpaceDN w:val="0"/>
              <w:snapToGrid w:val="0"/>
              <w:ind w:firstLine="420"/>
              <w:jc w:val="left"/>
              <w:rPr>
                <w:rFonts w:cs="Times New Roman"/>
                <w:color w:val="auto"/>
              </w:rPr>
            </w:pPr>
            <w:r>
              <w:rPr>
                <w:rFonts w:hint="eastAsia" w:cs="宋体"/>
                <w:color w:val="auto"/>
                <w:kern w:val="0"/>
              </w:rPr>
              <w:t>（</w:t>
            </w:r>
            <w:r>
              <w:rPr>
                <w:color w:val="auto"/>
                <w:kern w:val="0"/>
              </w:rPr>
              <w:t>7</w:t>
            </w:r>
            <w:r>
              <w:rPr>
                <w:rFonts w:hint="eastAsia" w:cs="宋体"/>
                <w:color w:val="auto"/>
                <w:kern w:val="0"/>
              </w:rPr>
              <w:t>）同一投标人未提交两个以上不同的投标文件，但招标文件要求提交备选投标的除外。</w:t>
            </w:r>
          </w:p>
          <w:p>
            <w:pPr>
              <w:autoSpaceDE w:val="0"/>
              <w:autoSpaceDN w:val="0"/>
              <w:snapToGrid w:val="0"/>
              <w:ind w:firstLine="420"/>
              <w:jc w:val="left"/>
              <w:rPr>
                <w:rFonts w:cs="Times New Roman"/>
                <w:color w:val="auto"/>
              </w:rPr>
            </w:pPr>
            <w:r>
              <w:rPr>
                <w:rFonts w:hint="eastAsia" w:cs="宋体"/>
                <w:color w:val="auto"/>
                <w:kern w:val="0"/>
              </w:rPr>
              <w:t>（</w:t>
            </w:r>
            <w:r>
              <w:rPr>
                <w:color w:val="auto"/>
                <w:kern w:val="0"/>
              </w:rPr>
              <w:t>8</w:t>
            </w:r>
            <w:r>
              <w:rPr>
                <w:rFonts w:hint="eastAsia" w:cs="宋体"/>
                <w:color w:val="auto"/>
                <w:kern w:val="0"/>
              </w:rPr>
              <w:t>）投标文件中未出现有关投标报价的内容。</w:t>
            </w:r>
          </w:p>
          <w:p>
            <w:pPr>
              <w:autoSpaceDE w:val="0"/>
              <w:autoSpaceDN w:val="0"/>
              <w:snapToGrid w:val="0"/>
              <w:ind w:firstLine="420"/>
              <w:jc w:val="left"/>
              <w:rPr>
                <w:rFonts w:cs="Times New Roman"/>
                <w:color w:val="auto"/>
              </w:rPr>
            </w:pPr>
            <w:r>
              <w:rPr>
                <w:rFonts w:hint="eastAsia" w:cs="宋体"/>
                <w:color w:val="auto"/>
                <w:kern w:val="0"/>
              </w:rPr>
              <w:t>（</w:t>
            </w:r>
            <w:r>
              <w:rPr>
                <w:color w:val="auto"/>
                <w:kern w:val="0"/>
              </w:rPr>
              <w:t>9</w:t>
            </w:r>
            <w:r>
              <w:rPr>
                <w:rFonts w:hint="eastAsia" w:cs="宋体"/>
                <w:color w:val="auto"/>
                <w:kern w:val="0"/>
              </w:rPr>
              <w:t>）投标文件载明的招标项目完成期限未超过招标文件规定的时限。</w:t>
            </w:r>
          </w:p>
          <w:p>
            <w:pPr>
              <w:autoSpaceDE w:val="0"/>
              <w:autoSpaceDN w:val="0"/>
              <w:snapToGrid w:val="0"/>
              <w:ind w:firstLine="420"/>
              <w:jc w:val="left"/>
              <w:rPr>
                <w:rFonts w:cs="Times New Roman"/>
                <w:color w:val="auto"/>
              </w:rPr>
            </w:pPr>
            <w:r>
              <w:rPr>
                <w:rFonts w:hint="eastAsia" w:cs="宋体"/>
                <w:color w:val="auto"/>
                <w:kern w:val="0"/>
              </w:rPr>
              <w:t>（</w:t>
            </w:r>
            <w:r>
              <w:rPr>
                <w:color w:val="auto"/>
                <w:kern w:val="0"/>
              </w:rPr>
              <w:t>10</w:t>
            </w:r>
            <w:r>
              <w:rPr>
                <w:rFonts w:hint="eastAsia" w:cs="宋体"/>
                <w:color w:val="auto"/>
                <w:kern w:val="0"/>
              </w:rPr>
              <w:t>）投标文件对招标文件的实质性要求和条件作出响应。</w:t>
            </w:r>
          </w:p>
          <w:p>
            <w:pPr>
              <w:autoSpaceDE w:val="0"/>
              <w:autoSpaceDN w:val="0"/>
              <w:snapToGrid w:val="0"/>
              <w:ind w:firstLine="420"/>
              <w:jc w:val="left"/>
              <w:rPr>
                <w:rFonts w:cs="Times New Roman"/>
                <w:color w:val="auto"/>
              </w:rPr>
            </w:pPr>
            <w:r>
              <w:rPr>
                <w:rFonts w:hint="eastAsia" w:cs="宋体"/>
                <w:color w:val="auto"/>
                <w:kern w:val="0"/>
              </w:rPr>
              <w:t>（</w:t>
            </w:r>
            <w:r>
              <w:rPr>
                <w:color w:val="auto"/>
                <w:kern w:val="0"/>
              </w:rPr>
              <w:t>11</w:t>
            </w:r>
            <w:r>
              <w:rPr>
                <w:rFonts w:hint="eastAsia" w:cs="宋体"/>
                <w:color w:val="auto"/>
                <w:kern w:val="0"/>
              </w:rPr>
              <w:t>）权利义务符合招标文件规定：</w:t>
            </w:r>
          </w:p>
          <w:p>
            <w:pPr>
              <w:autoSpaceDE w:val="0"/>
              <w:autoSpaceDN w:val="0"/>
              <w:snapToGrid w:val="0"/>
              <w:ind w:firstLine="420"/>
              <w:jc w:val="left"/>
              <w:rPr>
                <w:rFonts w:cs="Times New Roman"/>
                <w:color w:val="auto"/>
              </w:rPr>
            </w:pPr>
            <w:r>
              <w:rPr>
                <w:color w:val="auto"/>
                <w:kern w:val="0"/>
              </w:rPr>
              <w:t>a.</w:t>
            </w:r>
            <w:r>
              <w:rPr>
                <w:rFonts w:hint="eastAsia" w:cs="宋体"/>
                <w:color w:val="auto"/>
                <w:kern w:val="0"/>
              </w:rPr>
              <w:t>投标人应接受招标文件规定的风险划分原则，未提出新的风险划分办法；</w:t>
            </w:r>
          </w:p>
          <w:p>
            <w:pPr>
              <w:autoSpaceDE w:val="0"/>
              <w:autoSpaceDN w:val="0"/>
              <w:snapToGrid w:val="0"/>
              <w:ind w:firstLine="420"/>
              <w:jc w:val="left"/>
              <w:rPr>
                <w:rFonts w:cs="Times New Roman"/>
                <w:color w:val="auto"/>
              </w:rPr>
            </w:pPr>
            <w:r>
              <w:rPr>
                <w:color w:val="auto"/>
                <w:kern w:val="0"/>
              </w:rPr>
              <w:t>b.</w:t>
            </w:r>
            <w:r>
              <w:rPr>
                <w:rFonts w:hint="eastAsia" w:cs="宋体"/>
                <w:color w:val="auto"/>
                <w:kern w:val="0"/>
              </w:rPr>
              <w:t>投标人未增加发包人的责任范围，或减少投标人义务；</w:t>
            </w:r>
          </w:p>
          <w:p>
            <w:pPr>
              <w:autoSpaceDE w:val="0"/>
              <w:autoSpaceDN w:val="0"/>
              <w:snapToGrid w:val="0"/>
              <w:ind w:firstLine="420"/>
              <w:jc w:val="left"/>
              <w:rPr>
                <w:rFonts w:cs="Times New Roman"/>
                <w:color w:val="auto"/>
              </w:rPr>
            </w:pPr>
            <w:r>
              <w:rPr>
                <w:color w:val="auto"/>
                <w:kern w:val="0"/>
              </w:rPr>
              <w:t>c.</w:t>
            </w:r>
            <w:r>
              <w:rPr>
                <w:rFonts w:hint="eastAsia" w:cs="宋体"/>
                <w:color w:val="auto"/>
                <w:kern w:val="0"/>
              </w:rPr>
              <w:t>投标人未提出不同的支付办法；</w:t>
            </w:r>
          </w:p>
          <w:p>
            <w:pPr>
              <w:autoSpaceDE w:val="0"/>
              <w:autoSpaceDN w:val="0"/>
              <w:snapToGrid w:val="0"/>
              <w:ind w:firstLine="420"/>
              <w:jc w:val="left"/>
              <w:rPr>
                <w:rFonts w:cs="Times New Roman"/>
                <w:color w:val="auto"/>
              </w:rPr>
            </w:pPr>
            <w:r>
              <w:rPr>
                <w:color w:val="auto"/>
                <w:kern w:val="0"/>
              </w:rPr>
              <w:t>d.</w:t>
            </w:r>
            <w:r>
              <w:rPr>
                <w:rFonts w:hint="eastAsia" w:cs="宋体"/>
                <w:color w:val="auto"/>
                <w:kern w:val="0"/>
              </w:rPr>
              <w:t>投标人对合同纠纷、事故处理办法未提出异议；</w:t>
            </w:r>
          </w:p>
          <w:p>
            <w:pPr>
              <w:autoSpaceDE w:val="0"/>
              <w:autoSpaceDN w:val="0"/>
              <w:snapToGrid w:val="0"/>
              <w:ind w:firstLine="420"/>
              <w:jc w:val="left"/>
              <w:rPr>
                <w:rFonts w:cs="Times New Roman"/>
                <w:color w:val="auto"/>
              </w:rPr>
            </w:pPr>
            <w:r>
              <w:rPr>
                <w:color w:val="auto"/>
                <w:kern w:val="0"/>
              </w:rPr>
              <w:t>e.</w:t>
            </w:r>
            <w:r>
              <w:rPr>
                <w:rFonts w:hint="eastAsia" w:cs="宋体"/>
                <w:color w:val="auto"/>
                <w:kern w:val="0"/>
              </w:rPr>
              <w:t>投标人在投标活动中无欺诈行为；</w:t>
            </w:r>
          </w:p>
          <w:p>
            <w:pPr>
              <w:autoSpaceDE w:val="0"/>
              <w:autoSpaceDN w:val="0"/>
              <w:snapToGrid w:val="0"/>
              <w:ind w:firstLine="420"/>
              <w:jc w:val="left"/>
              <w:rPr>
                <w:rFonts w:cs="Times New Roman"/>
                <w:color w:val="auto"/>
              </w:rPr>
            </w:pPr>
            <w:r>
              <w:rPr>
                <w:color w:val="auto"/>
                <w:kern w:val="0"/>
              </w:rPr>
              <w:t>f.</w:t>
            </w:r>
            <w:r>
              <w:rPr>
                <w:rFonts w:hint="eastAsia" w:cs="宋体"/>
                <w:color w:val="auto"/>
                <w:kern w:val="0"/>
              </w:rPr>
              <w:t>投标人未对合同条款有重要保留。</w:t>
            </w:r>
          </w:p>
        </w:tc>
      </w:tr>
    </w:tbl>
    <w:p>
      <w:pPr>
        <w:autoSpaceDE w:val="0"/>
        <w:autoSpaceDN w:val="0"/>
        <w:snapToGrid w:val="0"/>
        <w:spacing w:line="400" w:lineRule="atLeast"/>
        <w:jc w:val="right"/>
        <w:rPr>
          <w:rFonts w:hAnsi="Times New Roman" w:cs="Times New Roman"/>
          <w:color w:val="auto"/>
        </w:rPr>
      </w:pPr>
      <w:r>
        <w:rPr>
          <w:rFonts w:hint="eastAsia" w:hAnsi="Times New Roman" w:cs="宋体"/>
          <w:color w:val="auto"/>
          <w:kern w:val="0"/>
        </w:rPr>
        <w:t>续上表</w:t>
      </w:r>
    </w:p>
    <w:tbl>
      <w:tblPr>
        <w:tblStyle w:val="20"/>
        <w:tblW w:w="8904" w:type="dxa"/>
        <w:jc w:val="center"/>
        <w:tblLayout w:type="fixed"/>
        <w:tblCellMar>
          <w:top w:w="0" w:type="dxa"/>
          <w:left w:w="0" w:type="dxa"/>
          <w:bottom w:w="0" w:type="dxa"/>
          <w:right w:w="0" w:type="dxa"/>
        </w:tblCellMar>
      </w:tblPr>
      <w:tblGrid>
        <w:gridCol w:w="1150"/>
        <w:gridCol w:w="1148"/>
        <w:gridCol w:w="6606"/>
      </w:tblGrid>
      <w:tr>
        <w:tblPrEx>
          <w:tblCellMar>
            <w:top w:w="0" w:type="dxa"/>
            <w:left w:w="0" w:type="dxa"/>
            <w:bottom w:w="0" w:type="dxa"/>
            <w:right w:w="0" w:type="dxa"/>
          </w:tblCellMar>
        </w:tblPrEx>
        <w:trPr>
          <w:trHeight w:val="567" w:hRule="atLeast"/>
          <w:jc w:val="center"/>
        </w:trPr>
        <w:tc>
          <w:tcPr>
            <w:tcW w:w="2298" w:type="dxa"/>
            <w:gridSpan w:val="2"/>
            <w:tcBorders>
              <w:top w:val="single" w:color="000000" w:sz="12" w:space="0"/>
              <w:left w:val="single" w:color="000000" w:sz="12" w:space="0"/>
              <w:bottom w:val="single" w:color="000000" w:sz="6" w:space="0"/>
              <w:right w:val="single" w:color="000000" w:sz="6" w:space="0"/>
            </w:tcBorders>
            <w:tcMar>
              <w:left w:w="108" w:type="dxa"/>
              <w:right w:w="108" w:type="dxa"/>
            </w:tcMar>
            <w:vAlign w:val="center"/>
          </w:tcPr>
          <w:p>
            <w:pPr>
              <w:autoSpaceDE w:val="0"/>
              <w:autoSpaceDN w:val="0"/>
              <w:snapToGrid w:val="0"/>
              <w:jc w:val="center"/>
              <w:rPr>
                <w:rFonts w:cs="Times New Roman"/>
                <w:b/>
                <w:bCs/>
                <w:color w:val="auto"/>
              </w:rPr>
            </w:pPr>
            <w:r>
              <w:rPr>
                <w:rFonts w:hint="eastAsia" w:cs="宋体"/>
                <w:b/>
                <w:bCs/>
                <w:color w:val="auto"/>
                <w:kern w:val="0"/>
              </w:rPr>
              <w:t>条款号</w:t>
            </w:r>
          </w:p>
        </w:tc>
        <w:tc>
          <w:tcPr>
            <w:tcW w:w="6606" w:type="dxa"/>
            <w:tcBorders>
              <w:top w:val="single" w:color="000000" w:sz="12" w:space="0"/>
              <w:left w:val="single" w:color="000000" w:sz="6" w:space="0"/>
              <w:bottom w:val="single" w:color="000000" w:sz="6" w:space="0"/>
              <w:right w:val="single" w:color="000000" w:sz="12" w:space="0"/>
            </w:tcBorders>
            <w:tcMar>
              <w:left w:w="108" w:type="dxa"/>
              <w:right w:w="108" w:type="dxa"/>
            </w:tcMar>
            <w:vAlign w:val="center"/>
          </w:tcPr>
          <w:p>
            <w:pPr>
              <w:autoSpaceDE w:val="0"/>
              <w:autoSpaceDN w:val="0"/>
              <w:snapToGrid w:val="0"/>
              <w:jc w:val="center"/>
              <w:rPr>
                <w:rFonts w:cs="Times New Roman"/>
                <w:b/>
                <w:bCs/>
                <w:color w:val="auto"/>
              </w:rPr>
            </w:pPr>
            <w:r>
              <w:rPr>
                <w:rFonts w:hint="eastAsia" w:cs="宋体"/>
                <w:b/>
                <w:bCs/>
                <w:color w:val="auto"/>
                <w:kern w:val="0"/>
              </w:rPr>
              <w:t>评审因素与评审标准</w:t>
            </w:r>
          </w:p>
        </w:tc>
      </w:tr>
      <w:tr>
        <w:tblPrEx>
          <w:tblCellMar>
            <w:top w:w="0" w:type="dxa"/>
            <w:left w:w="0" w:type="dxa"/>
            <w:bottom w:w="0" w:type="dxa"/>
            <w:right w:w="0" w:type="dxa"/>
          </w:tblCellMar>
        </w:tblPrEx>
        <w:trPr>
          <w:trHeight w:val="1003" w:hRule="atLeast"/>
          <w:jc w:val="center"/>
        </w:trPr>
        <w:tc>
          <w:tcPr>
            <w:tcW w:w="1150" w:type="dxa"/>
            <w:tcBorders>
              <w:top w:val="single" w:color="000000" w:sz="6" w:space="0"/>
              <w:left w:val="single" w:color="000000" w:sz="12" w:space="0"/>
              <w:bottom w:val="single" w:color="000000" w:sz="6" w:space="0"/>
              <w:right w:val="single" w:color="000000" w:sz="6" w:space="0"/>
            </w:tcBorders>
            <w:tcMar>
              <w:left w:w="108" w:type="dxa"/>
              <w:right w:w="108" w:type="dxa"/>
            </w:tcMar>
            <w:vAlign w:val="center"/>
          </w:tcPr>
          <w:p>
            <w:pPr>
              <w:autoSpaceDE w:val="0"/>
              <w:autoSpaceDN w:val="0"/>
              <w:snapToGrid w:val="0"/>
              <w:jc w:val="center"/>
              <w:rPr>
                <w:rFonts w:cs="Times New Roman"/>
                <w:color w:val="auto"/>
              </w:rPr>
            </w:pPr>
          </w:p>
        </w:tc>
        <w:tc>
          <w:tcPr>
            <w:tcW w:w="1148" w:type="dxa"/>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pPr>
              <w:autoSpaceDE w:val="0"/>
              <w:autoSpaceDN w:val="0"/>
              <w:snapToGrid w:val="0"/>
              <w:jc w:val="center"/>
              <w:rPr>
                <w:rFonts w:cs="Times New Roman"/>
                <w:color w:val="auto"/>
              </w:rPr>
            </w:pPr>
          </w:p>
        </w:tc>
        <w:tc>
          <w:tcPr>
            <w:tcW w:w="6606" w:type="dxa"/>
            <w:tcBorders>
              <w:top w:val="single" w:color="000000" w:sz="6" w:space="0"/>
              <w:left w:val="single" w:color="000000" w:sz="6" w:space="0"/>
              <w:bottom w:val="single" w:color="000000" w:sz="6" w:space="0"/>
              <w:right w:val="single" w:color="000000" w:sz="12" w:space="0"/>
            </w:tcBorders>
            <w:tcMar>
              <w:left w:w="108" w:type="dxa"/>
              <w:right w:w="108" w:type="dxa"/>
            </w:tcMar>
            <w:vAlign w:val="center"/>
          </w:tcPr>
          <w:p>
            <w:pPr>
              <w:autoSpaceDE w:val="0"/>
              <w:autoSpaceDN w:val="0"/>
              <w:snapToGrid w:val="0"/>
              <w:ind w:firstLine="420"/>
              <w:jc w:val="left"/>
              <w:rPr>
                <w:rFonts w:cs="Times New Roman"/>
                <w:color w:val="auto"/>
                <w:kern w:val="0"/>
              </w:rPr>
            </w:pPr>
            <w:r>
              <w:rPr>
                <w:rFonts w:hint="eastAsia" w:cs="宋体"/>
                <w:color w:val="auto"/>
                <w:kern w:val="0"/>
              </w:rPr>
              <w:t>（</w:t>
            </w:r>
            <w:r>
              <w:rPr>
                <w:color w:val="auto"/>
                <w:kern w:val="0"/>
              </w:rPr>
              <w:t>12</w:t>
            </w:r>
            <w:r>
              <w:rPr>
                <w:rFonts w:hint="eastAsia" w:cs="宋体"/>
                <w:color w:val="auto"/>
                <w:kern w:val="0"/>
              </w:rPr>
              <w:t>）投标文件正、副本份数符合招标文件第二章</w:t>
            </w:r>
            <w:r>
              <w:rPr>
                <w:color w:val="auto"/>
                <w:kern w:val="0"/>
              </w:rPr>
              <w:t>“</w:t>
            </w:r>
            <w:r>
              <w:rPr>
                <w:rFonts w:hint="eastAsia" w:cs="宋体"/>
                <w:color w:val="auto"/>
                <w:kern w:val="0"/>
              </w:rPr>
              <w:t>投标人须知</w:t>
            </w:r>
            <w:r>
              <w:rPr>
                <w:color w:val="auto"/>
                <w:kern w:val="0"/>
              </w:rPr>
              <w:t>”</w:t>
            </w:r>
            <w:r>
              <w:rPr>
                <w:rFonts w:hint="eastAsia" w:cs="宋体"/>
                <w:color w:val="auto"/>
                <w:kern w:val="0"/>
              </w:rPr>
              <w:t>第</w:t>
            </w:r>
            <w:r>
              <w:rPr>
                <w:color w:val="auto"/>
                <w:kern w:val="0"/>
              </w:rPr>
              <w:t>3.7.4</w:t>
            </w:r>
            <w:r>
              <w:rPr>
                <w:rFonts w:hint="eastAsia" w:cs="宋体"/>
                <w:color w:val="auto"/>
                <w:kern w:val="0"/>
              </w:rPr>
              <w:t>项规定。</w:t>
            </w:r>
          </w:p>
          <w:p>
            <w:pPr>
              <w:autoSpaceDE w:val="0"/>
              <w:autoSpaceDN w:val="0"/>
              <w:snapToGrid w:val="0"/>
              <w:ind w:firstLine="420"/>
              <w:jc w:val="left"/>
              <w:rPr>
                <w:rFonts w:cs="Times New Roman"/>
                <w:color w:val="auto"/>
              </w:rPr>
            </w:pPr>
            <w:r>
              <w:rPr>
                <w:rFonts w:hint="eastAsia" w:cs="宋体"/>
                <w:color w:val="auto"/>
              </w:rPr>
              <w:t>（</w:t>
            </w:r>
            <w:r>
              <w:rPr>
                <w:color w:val="auto"/>
              </w:rPr>
              <w:t>13</w:t>
            </w:r>
            <w:r>
              <w:rPr>
                <w:rFonts w:hint="eastAsia" w:cs="宋体"/>
                <w:color w:val="auto"/>
              </w:rPr>
              <w:t>）投标文件未附有招标人不能接受的条件。</w:t>
            </w:r>
          </w:p>
          <w:p>
            <w:pPr>
              <w:autoSpaceDE w:val="0"/>
              <w:autoSpaceDN w:val="0"/>
              <w:snapToGrid w:val="0"/>
              <w:ind w:firstLine="420"/>
              <w:jc w:val="left"/>
              <w:rPr>
                <w:rFonts w:cs="Times New Roman"/>
                <w:color w:val="auto"/>
              </w:rPr>
            </w:pPr>
            <w:r>
              <w:rPr>
                <w:rFonts w:hint="eastAsia" w:cs="宋体"/>
                <w:color w:val="auto"/>
              </w:rPr>
              <w:t>（</w:t>
            </w:r>
            <w:r>
              <w:rPr>
                <w:color w:val="auto"/>
              </w:rPr>
              <w:t>14</w:t>
            </w:r>
            <w:r>
              <w:rPr>
                <w:rFonts w:hint="eastAsia" w:cs="宋体"/>
                <w:color w:val="auto"/>
              </w:rPr>
              <w:t>）单位负责人为同一人或者存在控股、管理关系的不同单位，未参加同一标段投标或者未划分标段的同一招标项目投标。</w:t>
            </w:r>
          </w:p>
          <w:p>
            <w:pPr>
              <w:autoSpaceDE w:val="0"/>
              <w:autoSpaceDN w:val="0"/>
              <w:snapToGrid w:val="0"/>
              <w:spacing w:line="276" w:lineRule="auto"/>
              <w:ind w:firstLine="422"/>
              <w:jc w:val="left"/>
              <w:rPr>
                <w:rFonts w:cs="Times New Roman"/>
                <w:b/>
                <w:bCs/>
                <w:color w:val="auto"/>
              </w:rPr>
            </w:pPr>
            <w:r>
              <w:rPr>
                <w:rFonts w:hint="eastAsia" w:cs="宋体"/>
                <w:b/>
                <w:bCs/>
                <w:color w:val="auto"/>
                <w:kern w:val="0"/>
              </w:rPr>
              <w:t>第二个信封（报价文件）评审标准：</w:t>
            </w:r>
          </w:p>
          <w:p>
            <w:pPr>
              <w:autoSpaceDE w:val="0"/>
              <w:autoSpaceDN w:val="0"/>
              <w:snapToGrid w:val="0"/>
              <w:ind w:firstLine="420"/>
              <w:jc w:val="left"/>
              <w:rPr>
                <w:rFonts w:cs="Times New Roman"/>
                <w:color w:val="auto"/>
              </w:rPr>
            </w:pPr>
            <w:r>
              <w:rPr>
                <w:rFonts w:hint="eastAsia" w:cs="宋体"/>
                <w:color w:val="auto"/>
                <w:kern w:val="0"/>
              </w:rPr>
              <w:t>（</w:t>
            </w:r>
            <w:r>
              <w:rPr>
                <w:color w:val="auto"/>
                <w:kern w:val="0"/>
              </w:rPr>
              <w:t>1</w:t>
            </w:r>
            <w:r>
              <w:rPr>
                <w:rFonts w:hint="eastAsia" w:cs="宋体"/>
                <w:color w:val="auto"/>
                <w:kern w:val="0"/>
              </w:rPr>
              <w:t>）投标文件按照招标文件规定的格式、内容填写，字迹清晰可辨，内容齐全完整：</w:t>
            </w:r>
          </w:p>
          <w:p>
            <w:pPr>
              <w:autoSpaceDE w:val="0"/>
              <w:autoSpaceDN w:val="0"/>
              <w:snapToGrid w:val="0"/>
              <w:ind w:firstLine="420"/>
              <w:jc w:val="left"/>
              <w:rPr>
                <w:rFonts w:cs="Times New Roman"/>
                <w:color w:val="auto"/>
              </w:rPr>
            </w:pPr>
            <w:r>
              <w:rPr>
                <w:color w:val="auto"/>
                <w:kern w:val="0"/>
              </w:rPr>
              <w:t>a.</w:t>
            </w:r>
            <w:r>
              <w:rPr>
                <w:rFonts w:hint="eastAsia" w:cs="宋体"/>
                <w:color w:val="auto"/>
                <w:kern w:val="0"/>
              </w:rPr>
              <w:t>投标函按招标文件规定填报了项目名称、标段号、补遗书编号（如有）、投标价（包括大写金额和小写金额）；</w:t>
            </w:r>
          </w:p>
          <w:p>
            <w:pPr>
              <w:autoSpaceDE w:val="0"/>
              <w:autoSpaceDN w:val="0"/>
              <w:snapToGrid w:val="0"/>
              <w:ind w:firstLine="420"/>
              <w:jc w:val="left"/>
              <w:rPr>
                <w:rFonts w:cs="Times New Roman"/>
                <w:color w:val="auto"/>
              </w:rPr>
            </w:pPr>
            <w:r>
              <w:rPr>
                <w:color w:val="auto"/>
                <w:kern w:val="0"/>
              </w:rPr>
              <w:t>b.</w:t>
            </w:r>
            <w:r>
              <w:rPr>
                <w:rFonts w:hint="eastAsia" w:cs="宋体"/>
                <w:color w:val="auto"/>
                <w:kern w:val="0"/>
              </w:rPr>
              <w:t>已标价报价清单说明文字与招标文件规定一致，未进行实质性修改和删减；</w:t>
            </w:r>
          </w:p>
          <w:p>
            <w:pPr>
              <w:autoSpaceDE w:val="0"/>
              <w:autoSpaceDN w:val="0"/>
              <w:snapToGrid w:val="0"/>
              <w:ind w:firstLine="420"/>
              <w:jc w:val="left"/>
              <w:rPr>
                <w:rFonts w:cs="Times New Roman"/>
                <w:color w:val="auto"/>
              </w:rPr>
            </w:pPr>
            <w:r>
              <w:rPr>
                <w:color w:val="auto"/>
                <w:kern w:val="0"/>
              </w:rPr>
              <w:t>c.</w:t>
            </w:r>
            <w:r>
              <w:rPr>
                <w:rFonts w:hint="eastAsia" w:cs="宋体"/>
                <w:color w:val="auto"/>
                <w:kern w:val="0"/>
              </w:rPr>
              <w:t>投标文件组成齐全完整，内容均按规定填写。</w:t>
            </w:r>
          </w:p>
          <w:p>
            <w:pPr>
              <w:autoSpaceDE w:val="0"/>
              <w:autoSpaceDN w:val="0"/>
              <w:snapToGrid w:val="0"/>
              <w:ind w:firstLine="420"/>
              <w:jc w:val="left"/>
              <w:rPr>
                <w:rFonts w:cs="Times New Roman"/>
                <w:color w:val="auto"/>
              </w:rPr>
            </w:pPr>
            <w:r>
              <w:rPr>
                <w:rFonts w:hint="eastAsia" w:cs="宋体"/>
                <w:color w:val="auto"/>
                <w:kern w:val="0"/>
              </w:rPr>
              <w:t>（</w:t>
            </w:r>
            <w:r>
              <w:rPr>
                <w:color w:val="auto"/>
                <w:kern w:val="0"/>
              </w:rPr>
              <w:t>2</w:t>
            </w:r>
            <w:r>
              <w:rPr>
                <w:rFonts w:hint="eastAsia" w:cs="宋体"/>
                <w:color w:val="auto"/>
                <w:kern w:val="0"/>
              </w:rPr>
              <w:t>）投标文件上法定代表人或其授权代理人的签字、投标人的单位章齐全，符合招标文件规定。</w:t>
            </w:r>
          </w:p>
          <w:p>
            <w:pPr>
              <w:autoSpaceDE w:val="0"/>
              <w:autoSpaceDN w:val="0"/>
              <w:snapToGrid w:val="0"/>
              <w:ind w:firstLine="420"/>
              <w:jc w:val="left"/>
              <w:rPr>
                <w:rFonts w:cs="Times New Roman"/>
                <w:color w:val="auto"/>
              </w:rPr>
            </w:pPr>
            <w:r>
              <w:rPr>
                <w:rFonts w:hint="eastAsia" w:cs="宋体"/>
                <w:color w:val="auto"/>
                <w:kern w:val="0"/>
              </w:rPr>
              <w:t>（</w:t>
            </w:r>
            <w:r>
              <w:rPr>
                <w:color w:val="auto"/>
                <w:kern w:val="0"/>
              </w:rPr>
              <w:t>3</w:t>
            </w:r>
            <w:r>
              <w:rPr>
                <w:rFonts w:hint="eastAsia" w:cs="宋体"/>
                <w:color w:val="auto"/>
                <w:kern w:val="0"/>
              </w:rPr>
              <w:t>）投标报价未超过招标文件设定的最高投标限价（如有）。</w:t>
            </w:r>
          </w:p>
          <w:p>
            <w:pPr>
              <w:autoSpaceDE w:val="0"/>
              <w:autoSpaceDN w:val="0"/>
              <w:snapToGrid w:val="0"/>
              <w:ind w:firstLine="420"/>
              <w:jc w:val="left"/>
              <w:rPr>
                <w:rFonts w:cs="Times New Roman"/>
                <w:color w:val="auto"/>
              </w:rPr>
            </w:pPr>
            <w:r>
              <w:rPr>
                <w:rFonts w:hint="eastAsia" w:cs="宋体"/>
                <w:color w:val="auto"/>
                <w:kern w:val="0"/>
              </w:rPr>
              <w:t>（</w:t>
            </w:r>
            <w:r>
              <w:rPr>
                <w:color w:val="auto"/>
                <w:kern w:val="0"/>
              </w:rPr>
              <w:t>4</w:t>
            </w:r>
            <w:r>
              <w:rPr>
                <w:rFonts w:hint="eastAsia" w:cs="宋体"/>
                <w:color w:val="auto"/>
                <w:kern w:val="0"/>
              </w:rPr>
              <w:t>）投标报价的大写金额能够确定具体数值。</w:t>
            </w:r>
          </w:p>
          <w:p>
            <w:pPr>
              <w:autoSpaceDE w:val="0"/>
              <w:autoSpaceDN w:val="0"/>
              <w:snapToGrid w:val="0"/>
              <w:ind w:firstLine="420"/>
              <w:jc w:val="left"/>
              <w:rPr>
                <w:rFonts w:cs="Times New Roman"/>
                <w:color w:val="auto"/>
              </w:rPr>
            </w:pPr>
            <w:r>
              <w:rPr>
                <w:rFonts w:hint="eastAsia" w:cs="宋体"/>
                <w:color w:val="auto"/>
                <w:kern w:val="0"/>
              </w:rPr>
              <w:t>（</w:t>
            </w:r>
            <w:r>
              <w:rPr>
                <w:color w:val="auto"/>
                <w:kern w:val="0"/>
              </w:rPr>
              <w:t>5</w:t>
            </w:r>
            <w:r>
              <w:rPr>
                <w:rFonts w:hint="eastAsia" w:cs="宋体"/>
                <w:color w:val="auto"/>
                <w:kern w:val="0"/>
              </w:rPr>
              <w:t>）同一投标人未提交两个以上不同的投标报价，但招标文件要求提交备选投标的除外。</w:t>
            </w:r>
          </w:p>
          <w:p>
            <w:pPr>
              <w:autoSpaceDE w:val="0"/>
              <w:autoSpaceDN w:val="0"/>
              <w:snapToGrid w:val="0"/>
              <w:ind w:firstLine="420"/>
              <w:jc w:val="left"/>
              <w:rPr>
                <w:rFonts w:cs="Times New Roman"/>
                <w:color w:val="auto"/>
                <w:kern w:val="0"/>
              </w:rPr>
            </w:pPr>
            <w:r>
              <w:rPr>
                <w:rFonts w:hint="eastAsia" w:cs="宋体"/>
                <w:color w:val="auto"/>
                <w:kern w:val="0"/>
              </w:rPr>
              <w:t>（</w:t>
            </w:r>
            <w:r>
              <w:rPr>
                <w:color w:val="auto"/>
                <w:kern w:val="0"/>
              </w:rPr>
              <w:t>6</w:t>
            </w:r>
            <w:r>
              <w:rPr>
                <w:rFonts w:hint="eastAsia" w:cs="宋体"/>
                <w:color w:val="auto"/>
                <w:kern w:val="0"/>
              </w:rPr>
              <w:t>）投标文件正、副本份数符合招标文件第二章</w:t>
            </w:r>
            <w:r>
              <w:rPr>
                <w:color w:val="auto"/>
                <w:kern w:val="0"/>
              </w:rPr>
              <w:t>“</w:t>
            </w:r>
            <w:r>
              <w:rPr>
                <w:rFonts w:hint="eastAsia" w:cs="宋体"/>
                <w:color w:val="auto"/>
                <w:kern w:val="0"/>
              </w:rPr>
              <w:t>投标人须知</w:t>
            </w:r>
            <w:r>
              <w:rPr>
                <w:color w:val="auto"/>
                <w:kern w:val="0"/>
              </w:rPr>
              <w:t>”</w:t>
            </w:r>
            <w:r>
              <w:rPr>
                <w:rFonts w:hint="eastAsia" w:cs="宋体"/>
                <w:color w:val="auto"/>
                <w:kern w:val="0"/>
              </w:rPr>
              <w:t>第</w:t>
            </w:r>
            <w:r>
              <w:rPr>
                <w:color w:val="auto"/>
                <w:kern w:val="0"/>
              </w:rPr>
              <w:t>3.7.4</w:t>
            </w:r>
            <w:r>
              <w:rPr>
                <w:rFonts w:hint="eastAsia" w:cs="宋体"/>
                <w:color w:val="auto"/>
                <w:kern w:val="0"/>
              </w:rPr>
              <w:t>项规定。</w:t>
            </w:r>
          </w:p>
          <w:p>
            <w:pPr>
              <w:autoSpaceDE w:val="0"/>
              <w:autoSpaceDN w:val="0"/>
              <w:snapToGrid w:val="0"/>
              <w:ind w:firstLine="420"/>
              <w:jc w:val="left"/>
              <w:rPr>
                <w:rFonts w:cs="Times New Roman"/>
                <w:color w:val="auto"/>
              </w:rPr>
            </w:pPr>
            <w:r>
              <w:rPr>
                <w:rFonts w:hint="eastAsia" w:cs="宋体"/>
                <w:color w:val="auto"/>
              </w:rPr>
              <w:t>（</w:t>
            </w:r>
            <w:r>
              <w:rPr>
                <w:color w:val="auto"/>
              </w:rPr>
              <w:t>7</w:t>
            </w:r>
            <w:r>
              <w:rPr>
                <w:rFonts w:hint="eastAsia" w:cs="宋体"/>
                <w:color w:val="auto"/>
              </w:rPr>
              <w:t>）投标文件未附有招标人不能接受的条件。</w:t>
            </w:r>
          </w:p>
        </w:tc>
      </w:tr>
      <w:tr>
        <w:tblPrEx>
          <w:tblCellMar>
            <w:top w:w="0" w:type="dxa"/>
            <w:left w:w="0" w:type="dxa"/>
            <w:bottom w:w="0" w:type="dxa"/>
            <w:right w:w="0" w:type="dxa"/>
          </w:tblCellMar>
        </w:tblPrEx>
        <w:trPr>
          <w:trHeight w:val="1003" w:hRule="atLeast"/>
          <w:jc w:val="center"/>
        </w:trPr>
        <w:tc>
          <w:tcPr>
            <w:tcW w:w="1150" w:type="dxa"/>
            <w:tcBorders>
              <w:top w:val="single" w:color="000000" w:sz="6" w:space="0"/>
              <w:left w:val="single" w:color="000000" w:sz="12" w:space="0"/>
              <w:bottom w:val="single" w:color="000000" w:sz="6" w:space="0"/>
              <w:right w:val="single" w:color="000000" w:sz="6" w:space="0"/>
            </w:tcBorders>
            <w:tcMar>
              <w:left w:w="108" w:type="dxa"/>
              <w:right w:w="108" w:type="dxa"/>
            </w:tcMar>
            <w:vAlign w:val="center"/>
          </w:tcPr>
          <w:p>
            <w:pPr>
              <w:autoSpaceDE w:val="0"/>
              <w:autoSpaceDN w:val="0"/>
              <w:snapToGrid w:val="0"/>
              <w:jc w:val="center"/>
              <w:rPr>
                <w:rFonts w:cs="Times New Roman"/>
                <w:color w:val="auto"/>
              </w:rPr>
            </w:pPr>
            <w:r>
              <w:rPr>
                <w:color w:val="auto"/>
                <w:kern w:val="0"/>
              </w:rPr>
              <w:t>2.1.2</w:t>
            </w:r>
          </w:p>
          <w:p>
            <w:pPr>
              <w:autoSpaceDE w:val="0"/>
              <w:autoSpaceDN w:val="0"/>
              <w:snapToGrid w:val="0"/>
              <w:jc w:val="center"/>
              <w:rPr>
                <w:rFonts w:cs="Times New Roman"/>
                <w:color w:val="auto"/>
                <w:sz w:val="20"/>
                <w:szCs w:val="20"/>
              </w:rPr>
            </w:pPr>
          </w:p>
        </w:tc>
        <w:tc>
          <w:tcPr>
            <w:tcW w:w="1148" w:type="dxa"/>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pPr>
              <w:autoSpaceDE w:val="0"/>
              <w:autoSpaceDN w:val="0"/>
              <w:snapToGrid w:val="0"/>
              <w:jc w:val="center"/>
              <w:rPr>
                <w:rFonts w:cs="Times New Roman"/>
                <w:color w:val="auto"/>
              </w:rPr>
            </w:pPr>
            <w:r>
              <w:rPr>
                <w:rFonts w:hint="eastAsia" w:cs="宋体"/>
                <w:color w:val="auto"/>
                <w:kern w:val="0"/>
              </w:rPr>
              <w:t>资格评审标准</w:t>
            </w:r>
          </w:p>
          <w:p>
            <w:pPr>
              <w:autoSpaceDE w:val="0"/>
              <w:autoSpaceDN w:val="0"/>
              <w:snapToGrid w:val="0"/>
              <w:jc w:val="center"/>
              <w:rPr>
                <w:rFonts w:cs="Times New Roman"/>
                <w:color w:val="auto"/>
                <w:sz w:val="20"/>
                <w:szCs w:val="20"/>
              </w:rPr>
            </w:pPr>
          </w:p>
        </w:tc>
        <w:tc>
          <w:tcPr>
            <w:tcW w:w="6606" w:type="dxa"/>
            <w:tcBorders>
              <w:top w:val="single" w:color="000000" w:sz="6" w:space="0"/>
              <w:left w:val="single" w:color="000000" w:sz="6" w:space="0"/>
              <w:bottom w:val="single" w:color="000000" w:sz="6" w:space="0"/>
              <w:right w:val="single" w:color="000000" w:sz="12" w:space="0"/>
            </w:tcBorders>
            <w:tcMar>
              <w:left w:w="108" w:type="dxa"/>
              <w:right w:w="108" w:type="dxa"/>
            </w:tcMar>
            <w:vAlign w:val="center"/>
          </w:tcPr>
          <w:p>
            <w:pPr>
              <w:autoSpaceDE w:val="0"/>
              <w:autoSpaceDN w:val="0"/>
              <w:snapToGrid w:val="0"/>
              <w:spacing w:line="260" w:lineRule="exact"/>
              <w:rPr>
                <w:rFonts w:cs="Times New Roman"/>
                <w:color w:val="auto"/>
              </w:rPr>
            </w:pPr>
            <w:r>
              <w:rPr>
                <w:rFonts w:hint="eastAsia" w:cs="宋体"/>
                <w:color w:val="auto"/>
                <w:kern w:val="0"/>
              </w:rPr>
              <w:t>（</w:t>
            </w:r>
            <w:r>
              <w:rPr>
                <w:color w:val="auto"/>
                <w:kern w:val="0"/>
              </w:rPr>
              <w:t>1</w:t>
            </w:r>
            <w:r>
              <w:rPr>
                <w:rFonts w:hint="eastAsia" w:cs="宋体"/>
                <w:color w:val="auto"/>
                <w:kern w:val="0"/>
              </w:rPr>
              <w:t>）投标人具备有效的营业执照、事业单位法人证书、组织机构代码证、勘察资质证书、基本账户开户许可证。</w:t>
            </w:r>
          </w:p>
          <w:p>
            <w:pPr>
              <w:autoSpaceDE w:val="0"/>
              <w:autoSpaceDN w:val="0"/>
              <w:snapToGrid w:val="0"/>
              <w:spacing w:line="260" w:lineRule="exact"/>
              <w:rPr>
                <w:rFonts w:cs="Times New Roman"/>
                <w:color w:val="auto"/>
              </w:rPr>
            </w:pPr>
            <w:r>
              <w:rPr>
                <w:rFonts w:hint="eastAsia" w:cs="宋体"/>
                <w:color w:val="auto"/>
                <w:kern w:val="0"/>
              </w:rPr>
              <w:t>（</w:t>
            </w:r>
            <w:r>
              <w:rPr>
                <w:color w:val="auto"/>
                <w:kern w:val="0"/>
              </w:rPr>
              <w:t>2</w:t>
            </w:r>
            <w:r>
              <w:rPr>
                <w:rFonts w:hint="eastAsia" w:cs="宋体"/>
                <w:color w:val="auto"/>
                <w:kern w:val="0"/>
              </w:rPr>
              <w:t>）投标人的资质等级符合招标文件规定。</w:t>
            </w:r>
          </w:p>
          <w:p>
            <w:pPr>
              <w:autoSpaceDE w:val="0"/>
              <w:autoSpaceDN w:val="0"/>
              <w:snapToGrid w:val="0"/>
              <w:spacing w:line="260" w:lineRule="exact"/>
              <w:rPr>
                <w:rFonts w:cs="Times New Roman"/>
                <w:color w:val="auto"/>
              </w:rPr>
            </w:pPr>
            <w:r>
              <w:rPr>
                <w:rFonts w:hint="eastAsia" w:cs="宋体"/>
                <w:color w:val="auto"/>
                <w:kern w:val="0"/>
              </w:rPr>
              <w:t>（</w:t>
            </w:r>
            <w:r>
              <w:rPr>
                <w:color w:val="auto"/>
                <w:kern w:val="0"/>
              </w:rPr>
              <w:t>3</w:t>
            </w:r>
            <w:r>
              <w:rPr>
                <w:rFonts w:hint="eastAsia" w:cs="宋体"/>
                <w:color w:val="auto"/>
                <w:kern w:val="0"/>
              </w:rPr>
              <w:t>）投标人的类似项目业绩符合招标文件规定。</w:t>
            </w:r>
          </w:p>
          <w:p>
            <w:pPr>
              <w:autoSpaceDE w:val="0"/>
              <w:autoSpaceDN w:val="0"/>
              <w:snapToGrid w:val="0"/>
              <w:spacing w:line="260" w:lineRule="exact"/>
              <w:rPr>
                <w:rFonts w:cs="Times New Roman"/>
                <w:color w:val="auto"/>
              </w:rPr>
            </w:pPr>
            <w:r>
              <w:rPr>
                <w:rFonts w:hint="eastAsia" w:cs="宋体"/>
                <w:color w:val="auto"/>
                <w:kern w:val="0"/>
              </w:rPr>
              <w:t>（</w:t>
            </w:r>
            <w:r>
              <w:rPr>
                <w:color w:val="auto"/>
                <w:kern w:val="0"/>
              </w:rPr>
              <w:t>4</w:t>
            </w:r>
            <w:r>
              <w:rPr>
                <w:rFonts w:hint="eastAsia" w:cs="宋体"/>
                <w:color w:val="auto"/>
                <w:kern w:val="0"/>
              </w:rPr>
              <w:t>）投标人的信誉符合招标文件规定。</w:t>
            </w:r>
          </w:p>
          <w:p>
            <w:pPr>
              <w:autoSpaceDE w:val="0"/>
              <w:autoSpaceDN w:val="0"/>
              <w:snapToGrid w:val="0"/>
              <w:spacing w:line="260" w:lineRule="exact"/>
              <w:rPr>
                <w:rFonts w:cs="Times New Roman"/>
                <w:color w:val="auto"/>
              </w:rPr>
            </w:pPr>
            <w:r>
              <w:rPr>
                <w:rFonts w:hint="eastAsia" w:cs="宋体"/>
                <w:color w:val="auto"/>
                <w:kern w:val="0"/>
              </w:rPr>
              <w:t>（</w:t>
            </w:r>
            <w:r>
              <w:rPr>
                <w:color w:val="auto"/>
                <w:kern w:val="0"/>
              </w:rPr>
              <w:t>5</w:t>
            </w:r>
            <w:r>
              <w:rPr>
                <w:rFonts w:hint="eastAsia" w:cs="宋体"/>
                <w:color w:val="auto"/>
                <w:kern w:val="0"/>
              </w:rPr>
              <w:t>）投标人的项目负责人资格符合招标文件规定。</w:t>
            </w:r>
          </w:p>
          <w:p>
            <w:pPr>
              <w:tabs>
                <w:tab w:val="left" w:pos="704"/>
              </w:tabs>
              <w:autoSpaceDE w:val="0"/>
              <w:autoSpaceDN w:val="0"/>
              <w:snapToGrid w:val="0"/>
              <w:spacing w:line="260" w:lineRule="exact"/>
              <w:rPr>
                <w:rFonts w:cs="Times New Roman"/>
                <w:color w:val="auto"/>
                <w:kern w:val="0"/>
              </w:rPr>
            </w:pPr>
            <w:r>
              <w:rPr>
                <w:rFonts w:hint="eastAsia" w:cs="宋体"/>
                <w:color w:val="auto"/>
                <w:kern w:val="0"/>
              </w:rPr>
              <w:t>（</w:t>
            </w:r>
            <w:r>
              <w:rPr>
                <w:rFonts w:hint="eastAsia"/>
                <w:color w:val="auto"/>
                <w:kern w:val="0"/>
              </w:rPr>
              <w:t>6</w:t>
            </w:r>
            <w:r>
              <w:rPr>
                <w:rFonts w:hint="eastAsia" w:cs="宋体"/>
                <w:color w:val="auto"/>
                <w:kern w:val="0"/>
              </w:rPr>
              <w:t>）投标人不存在第二章</w:t>
            </w:r>
            <w:r>
              <w:rPr>
                <w:color w:val="auto"/>
                <w:kern w:val="0"/>
              </w:rPr>
              <w:t>“</w:t>
            </w:r>
            <w:r>
              <w:rPr>
                <w:rFonts w:hint="eastAsia" w:cs="宋体"/>
                <w:color w:val="auto"/>
                <w:kern w:val="0"/>
              </w:rPr>
              <w:t>投标人须知</w:t>
            </w:r>
            <w:r>
              <w:rPr>
                <w:color w:val="auto"/>
                <w:kern w:val="0"/>
              </w:rPr>
              <w:t>”</w:t>
            </w:r>
            <w:r>
              <w:rPr>
                <w:rFonts w:hint="eastAsia" w:cs="宋体"/>
                <w:color w:val="auto"/>
                <w:kern w:val="0"/>
              </w:rPr>
              <w:t>第</w:t>
            </w:r>
            <w:r>
              <w:rPr>
                <w:color w:val="auto"/>
                <w:kern w:val="0"/>
              </w:rPr>
              <w:t>1.4.3</w:t>
            </w:r>
            <w:r>
              <w:rPr>
                <w:rFonts w:hint="eastAsia" w:cs="宋体"/>
                <w:color w:val="auto"/>
                <w:kern w:val="0"/>
              </w:rPr>
              <w:t>项或第</w:t>
            </w:r>
            <w:r>
              <w:rPr>
                <w:color w:val="auto"/>
                <w:kern w:val="0"/>
              </w:rPr>
              <w:t>1.4.4</w:t>
            </w:r>
            <w:r>
              <w:rPr>
                <w:rFonts w:hint="eastAsia" w:cs="宋体"/>
                <w:color w:val="auto"/>
                <w:kern w:val="0"/>
              </w:rPr>
              <w:t>项规定的任何一种情形。</w:t>
            </w:r>
          </w:p>
          <w:p>
            <w:pPr>
              <w:rPr>
                <w:rFonts w:cs="Times New Roman"/>
                <w:color w:val="auto"/>
              </w:rPr>
            </w:pPr>
            <w:r>
              <w:rPr>
                <w:rFonts w:hint="eastAsia" w:cs="宋体"/>
                <w:color w:val="auto"/>
              </w:rPr>
              <w:t>（</w:t>
            </w:r>
            <w:r>
              <w:rPr>
                <w:rFonts w:hint="eastAsia"/>
                <w:color w:val="auto"/>
              </w:rPr>
              <w:t>7</w:t>
            </w:r>
            <w:r>
              <w:rPr>
                <w:rFonts w:hint="eastAsia" w:cs="宋体"/>
                <w:color w:val="auto"/>
              </w:rPr>
              <w:t>）投标人符合第二章</w:t>
            </w:r>
            <w:r>
              <w:rPr>
                <w:color w:val="auto"/>
              </w:rPr>
              <w:t>“</w:t>
            </w:r>
            <w:r>
              <w:rPr>
                <w:rFonts w:hint="eastAsia" w:cs="宋体"/>
                <w:color w:val="auto"/>
              </w:rPr>
              <w:t>投标人须知</w:t>
            </w:r>
            <w:r>
              <w:rPr>
                <w:color w:val="auto"/>
              </w:rPr>
              <w:t>”</w:t>
            </w:r>
            <w:r>
              <w:rPr>
                <w:rFonts w:hint="eastAsia" w:cs="宋体"/>
                <w:color w:val="auto"/>
              </w:rPr>
              <w:t>第</w:t>
            </w:r>
            <w:r>
              <w:rPr>
                <w:color w:val="auto"/>
              </w:rPr>
              <w:t>1.4.5</w:t>
            </w:r>
            <w:r>
              <w:rPr>
                <w:rFonts w:hint="eastAsia" w:cs="宋体"/>
                <w:color w:val="auto"/>
              </w:rPr>
              <w:t>项规定。</w:t>
            </w:r>
          </w:p>
          <w:p>
            <w:pPr>
              <w:rPr>
                <w:rFonts w:cs="Times New Roman"/>
                <w:color w:val="auto"/>
              </w:rPr>
            </w:pPr>
            <w:r>
              <w:rPr>
                <w:rFonts w:hint="eastAsia" w:cs="宋体"/>
                <w:color w:val="auto"/>
              </w:rPr>
              <w:t>（</w:t>
            </w:r>
            <w:r>
              <w:rPr>
                <w:rFonts w:hint="eastAsia"/>
                <w:color w:val="auto"/>
              </w:rPr>
              <w:t>8</w:t>
            </w:r>
            <w:r>
              <w:rPr>
                <w:rFonts w:hint="eastAsia" w:cs="宋体"/>
                <w:color w:val="auto"/>
              </w:rPr>
              <w:t>）以联合体形式参与投标的，联合体各方均未再以自己名义单独或参加其他联合体在同一标段中投标；独立参与投标的，投标人未同时参加联合体在同一标段中投标</w:t>
            </w:r>
          </w:p>
        </w:tc>
      </w:tr>
      <w:tr>
        <w:tblPrEx>
          <w:tblCellMar>
            <w:top w:w="0" w:type="dxa"/>
            <w:left w:w="0" w:type="dxa"/>
            <w:bottom w:w="0" w:type="dxa"/>
            <w:right w:w="0" w:type="dxa"/>
          </w:tblCellMar>
        </w:tblPrEx>
        <w:trPr>
          <w:trHeight w:val="1003" w:hRule="atLeast"/>
          <w:jc w:val="center"/>
        </w:trPr>
        <w:tc>
          <w:tcPr>
            <w:tcW w:w="1150" w:type="dxa"/>
            <w:tcBorders>
              <w:top w:val="single" w:color="000000" w:sz="6" w:space="0"/>
              <w:left w:val="single" w:color="000000" w:sz="12" w:space="0"/>
              <w:bottom w:val="single" w:color="000000" w:sz="12" w:space="0"/>
              <w:right w:val="single" w:color="000000" w:sz="6" w:space="0"/>
            </w:tcBorders>
            <w:tcMar>
              <w:left w:w="108" w:type="dxa"/>
              <w:right w:w="108" w:type="dxa"/>
            </w:tcMar>
            <w:vAlign w:val="center"/>
          </w:tcPr>
          <w:p>
            <w:pPr>
              <w:autoSpaceDE w:val="0"/>
              <w:autoSpaceDN w:val="0"/>
              <w:snapToGrid w:val="0"/>
              <w:jc w:val="center"/>
              <w:rPr>
                <w:rFonts w:cs="Times New Roman"/>
                <w:color w:val="auto"/>
              </w:rPr>
            </w:pPr>
            <w:r>
              <w:rPr>
                <w:color w:val="auto"/>
                <w:kern w:val="0"/>
              </w:rPr>
              <w:t>2.2.1</w:t>
            </w:r>
          </w:p>
        </w:tc>
        <w:tc>
          <w:tcPr>
            <w:tcW w:w="1148" w:type="dxa"/>
            <w:tcBorders>
              <w:top w:val="single" w:color="000000" w:sz="6" w:space="0"/>
              <w:left w:val="single" w:color="000000" w:sz="6" w:space="0"/>
              <w:bottom w:val="single" w:color="000000" w:sz="12" w:space="0"/>
              <w:right w:val="single" w:color="000000" w:sz="6" w:space="0"/>
            </w:tcBorders>
            <w:tcMar>
              <w:left w:w="108" w:type="dxa"/>
              <w:right w:w="108" w:type="dxa"/>
            </w:tcMar>
            <w:vAlign w:val="center"/>
          </w:tcPr>
          <w:p>
            <w:pPr>
              <w:autoSpaceDE w:val="0"/>
              <w:autoSpaceDN w:val="0"/>
              <w:snapToGrid w:val="0"/>
              <w:jc w:val="center"/>
              <w:rPr>
                <w:rFonts w:cs="Times New Roman"/>
                <w:color w:val="auto"/>
              </w:rPr>
            </w:pPr>
            <w:r>
              <w:rPr>
                <w:rFonts w:hint="eastAsia" w:cs="宋体"/>
                <w:color w:val="auto"/>
                <w:kern w:val="0"/>
              </w:rPr>
              <w:t>分值构成（总分</w:t>
            </w:r>
            <w:r>
              <w:rPr>
                <w:color w:val="auto"/>
                <w:kern w:val="0"/>
              </w:rPr>
              <w:t>100</w:t>
            </w:r>
            <w:r>
              <w:rPr>
                <w:rFonts w:hint="eastAsia" w:cs="宋体"/>
                <w:color w:val="auto"/>
                <w:kern w:val="0"/>
              </w:rPr>
              <w:t>分）</w:t>
            </w:r>
          </w:p>
        </w:tc>
        <w:tc>
          <w:tcPr>
            <w:tcW w:w="6606" w:type="dxa"/>
            <w:tcBorders>
              <w:top w:val="single" w:color="000000" w:sz="6" w:space="0"/>
              <w:left w:val="single" w:color="000000" w:sz="6" w:space="0"/>
              <w:bottom w:val="single" w:color="000000" w:sz="12" w:space="0"/>
              <w:right w:val="single" w:color="000000" w:sz="12" w:space="0"/>
            </w:tcBorders>
            <w:tcMar>
              <w:left w:w="108" w:type="dxa"/>
              <w:right w:w="108" w:type="dxa"/>
            </w:tcMar>
            <w:vAlign w:val="center"/>
          </w:tcPr>
          <w:p>
            <w:pPr>
              <w:pStyle w:val="50"/>
              <w:spacing w:line="260" w:lineRule="exact"/>
              <w:ind w:firstLine="422" w:firstLineChars="200"/>
              <w:jc w:val="both"/>
              <w:rPr>
                <w:rFonts w:cs="Times New Roman"/>
                <w:b/>
                <w:bCs/>
                <w:color w:val="auto"/>
                <w:sz w:val="21"/>
                <w:szCs w:val="21"/>
              </w:rPr>
            </w:pPr>
            <w:r>
              <w:rPr>
                <w:rFonts w:hint="eastAsia" w:cs="宋体"/>
                <w:b/>
                <w:bCs/>
                <w:color w:val="auto"/>
                <w:sz w:val="21"/>
                <w:szCs w:val="21"/>
              </w:rPr>
              <w:t>第一个信封（商务及技术文件）评分分值构成：</w:t>
            </w:r>
          </w:p>
          <w:p>
            <w:pPr>
              <w:pStyle w:val="50"/>
              <w:spacing w:line="273" w:lineRule="auto"/>
              <w:ind w:firstLine="420" w:firstLineChars="200"/>
              <w:jc w:val="both"/>
              <w:rPr>
                <w:rFonts w:cs="Times New Roman"/>
                <w:color w:val="auto"/>
                <w:sz w:val="21"/>
                <w:szCs w:val="21"/>
              </w:rPr>
            </w:pPr>
            <w:r>
              <w:rPr>
                <w:rFonts w:hint="eastAsia" w:cs="宋体"/>
                <w:color w:val="auto"/>
                <w:sz w:val="21"/>
                <w:szCs w:val="21"/>
              </w:rPr>
              <w:t>技术建议书：</w:t>
            </w:r>
            <w:r>
              <w:rPr>
                <w:rFonts w:hint="eastAsia"/>
                <w:color w:val="auto"/>
                <w:sz w:val="21"/>
                <w:szCs w:val="21"/>
                <w:u w:val="single"/>
              </w:rPr>
              <w:t>45</w:t>
            </w:r>
            <w:r>
              <w:rPr>
                <w:rFonts w:hint="eastAsia" w:cs="宋体"/>
                <w:color w:val="auto"/>
                <w:sz w:val="21"/>
                <w:szCs w:val="21"/>
              </w:rPr>
              <w:t>分</w:t>
            </w:r>
          </w:p>
          <w:p>
            <w:pPr>
              <w:pStyle w:val="50"/>
              <w:spacing w:line="273" w:lineRule="auto"/>
              <w:ind w:firstLine="420" w:firstLineChars="200"/>
              <w:jc w:val="both"/>
              <w:rPr>
                <w:rFonts w:cs="Times New Roman"/>
                <w:color w:val="auto"/>
                <w:sz w:val="21"/>
                <w:szCs w:val="21"/>
              </w:rPr>
            </w:pPr>
            <w:r>
              <w:rPr>
                <w:rFonts w:hint="eastAsia" w:cs="宋体"/>
                <w:color w:val="auto"/>
                <w:sz w:val="21"/>
                <w:szCs w:val="21"/>
              </w:rPr>
              <w:t>主要人员：</w:t>
            </w:r>
            <w:r>
              <w:rPr>
                <w:color w:val="auto"/>
                <w:sz w:val="21"/>
                <w:szCs w:val="21"/>
                <w:u w:val="single"/>
              </w:rPr>
              <w:t xml:space="preserve"> 20</w:t>
            </w:r>
            <w:r>
              <w:rPr>
                <w:rFonts w:hint="eastAsia" w:cs="宋体"/>
                <w:color w:val="auto"/>
                <w:sz w:val="21"/>
                <w:szCs w:val="21"/>
              </w:rPr>
              <w:t>分</w:t>
            </w:r>
          </w:p>
          <w:p>
            <w:pPr>
              <w:pStyle w:val="50"/>
              <w:spacing w:line="273" w:lineRule="auto"/>
              <w:ind w:firstLine="420" w:firstLineChars="200"/>
              <w:jc w:val="both"/>
              <w:rPr>
                <w:rFonts w:cs="Times New Roman"/>
                <w:color w:val="auto"/>
                <w:sz w:val="21"/>
                <w:szCs w:val="21"/>
              </w:rPr>
            </w:pPr>
            <w:r>
              <w:rPr>
                <w:rFonts w:hint="eastAsia" w:cs="宋体"/>
                <w:color w:val="auto"/>
                <w:sz w:val="21"/>
                <w:szCs w:val="21"/>
              </w:rPr>
              <w:t>单位业绩：</w:t>
            </w:r>
            <w:r>
              <w:rPr>
                <w:color w:val="auto"/>
                <w:sz w:val="21"/>
                <w:szCs w:val="21"/>
                <w:u w:val="single"/>
              </w:rPr>
              <w:t xml:space="preserve"> 20 </w:t>
            </w:r>
            <w:r>
              <w:rPr>
                <w:rFonts w:hint="eastAsia" w:cs="宋体"/>
                <w:color w:val="auto"/>
                <w:sz w:val="21"/>
                <w:szCs w:val="21"/>
              </w:rPr>
              <w:t>分</w:t>
            </w:r>
          </w:p>
          <w:p>
            <w:pPr>
              <w:pStyle w:val="50"/>
              <w:spacing w:line="273" w:lineRule="auto"/>
              <w:ind w:firstLine="420" w:firstLineChars="200"/>
              <w:jc w:val="both"/>
              <w:rPr>
                <w:rFonts w:cs="Times New Roman"/>
                <w:color w:val="auto"/>
                <w:sz w:val="21"/>
                <w:szCs w:val="21"/>
              </w:rPr>
            </w:pPr>
            <w:r>
              <w:rPr>
                <w:rFonts w:hint="eastAsia" w:cs="宋体"/>
                <w:color w:val="auto"/>
                <w:sz w:val="21"/>
                <w:szCs w:val="21"/>
              </w:rPr>
              <w:t>履约信誉：</w:t>
            </w:r>
            <w:r>
              <w:rPr>
                <w:rFonts w:hint="eastAsia"/>
                <w:color w:val="auto"/>
                <w:sz w:val="21"/>
                <w:szCs w:val="21"/>
                <w:u w:val="single"/>
              </w:rPr>
              <w:t>5</w:t>
            </w:r>
            <w:r>
              <w:rPr>
                <w:rFonts w:hint="eastAsia" w:cs="宋体"/>
                <w:color w:val="auto"/>
                <w:sz w:val="21"/>
                <w:szCs w:val="21"/>
              </w:rPr>
              <w:t>分</w:t>
            </w:r>
          </w:p>
          <w:p>
            <w:pPr>
              <w:pStyle w:val="50"/>
              <w:spacing w:line="273" w:lineRule="auto"/>
              <w:ind w:firstLine="422" w:firstLineChars="200"/>
              <w:jc w:val="both"/>
              <w:rPr>
                <w:rFonts w:cs="Times New Roman"/>
                <w:b/>
                <w:bCs/>
                <w:color w:val="auto"/>
                <w:sz w:val="21"/>
                <w:szCs w:val="21"/>
              </w:rPr>
            </w:pPr>
            <w:r>
              <w:rPr>
                <w:rFonts w:hint="eastAsia" w:cs="宋体"/>
                <w:b/>
                <w:bCs/>
                <w:color w:val="auto"/>
                <w:sz w:val="21"/>
                <w:szCs w:val="21"/>
              </w:rPr>
              <w:t>第二个信封（报价文件）评分分值构成：</w:t>
            </w:r>
          </w:p>
          <w:p>
            <w:pPr>
              <w:ind w:firstLine="420" w:firstLineChars="200"/>
              <w:rPr>
                <w:rFonts w:cs="Times New Roman"/>
                <w:color w:val="auto"/>
              </w:rPr>
            </w:pPr>
            <w:r>
              <w:rPr>
                <w:rFonts w:hint="eastAsia" w:cs="宋体"/>
                <w:color w:val="auto"/>
              </w:rPr>
              <w:t>评标价：</w:t>
            </w:r>
            <w:r>
              <w:rPr>
                <w:color w:val="auto"/>
                <w:u w:val="single"/>
              </w:rPr>
              <w:t xml:space="preserve"> 10</w:t>
            </w:r>
            <w:r>
              <w:rPr>
                <w:rFonts w:hint="eastAsia" w:cs="宋体"/>
                <w:color w:val="auto"/>
              </w:rPr>
              <w:t>分</w:t>
            </w:r>
          </w:p>
        </w:tc>
      </w:tr>
    </w:tbl>
    <w:p>
      <w:pPr>
        <w:autoSpaceDE w:val="0"/>
        <w:autoSpaceDN w:val="0"/>
        <w:snapToGrid w:val="0"/>
        <w:spacing w:line="400" w:lineRule="atLeast"/>
        <w:jc w:val="right"/>
        <w:rPr>
          <w:rFonts w:hAnsi="Times New Roman" w:cs="Times New Roman"/>
          <w:color w:val="auto"/>
          <w:kern w:val="0"/>
        </w:rPr>
      </w:pPr>
    </w:p>
    <w:p>
      <w:pPr>
        <w:autoSpaceDE w:val="0"/>
        <w:autoSpaceDN w:val="0"/>
        <w:snapToGrid w:val="0"/>
        <w:spacing w:line="400" w:lineRule="atLeast"/>
        <w:jc w:val="right"/>
        <w:rPr>
          <w:rFonts w:hAnsi="Times New Roman" w:cs="Times New Roman"/>
          <w:color w:val="auto"/>
          <w:kern w:val="0"/>
        </w:rPr>
      </w:pPr>
    </w:p>
    <w:p>
      <w:pPr>
        <w:snapToGrid w:val="0"/>
        <w:jc w:val="right"/>
        <w:rPr>
          <w:rFonts w:hAnsi="Times New Roman" w:cs="Times New Roman"/>
          <w:color w:val="auto"/>
        </w:rPr>
      </w:pPr>
      <w:r>
        <w:rPr>
          <w:rFonts w:ascii="Times New Roman" w:hAnsi="Times New Roman" w:cs="Times New Roman"/>
          <w:color w:val="auto"/>
          <w:kern w:val="0"/>
        </w:rPr>
        <w:br w:type="page"/>
      </w:r>
      <w:r>
        <w:rPr>
          <w:rFonts w:hint="eastAsia" w:ascii="Times New Roman" w:hAnsi="Times New Roman" w:cs="宋体"/>
          <w:color w:val="auto"/>
          <w:kern w:val="0"/>
        </w:rPr>
        <w:t>续上表</w:t>
      </w:r>
    </w:p>
    <w:tbl>
      <w:tblPr>
        <w:tblStyle w:val="20"/>
        <w:tblW w:w="8904" w:type="dxa"/>
        <w:jc w:val="center"/>
        <w:tblLayout w:type="fixed"/>
        <w:tblCellMar>
          <w:top w:w="0" w:type="dxa"/>
          <w:left w:w="0" w:type="dxa"/>
          <w:bottom w:w="0" w:type="dxa"/>
          <w:right w:w="0" w:type="dxa"/>
        </w:tblCellMar>
      </w:tblPr>
      <w:tblGrid>
        <w:gridCol w:w="1150"/>
        <w:gridCol w:w="1155"/>
        <w:gridCol w:w="6599"/>
      </w:tblGrid>
      <w:tr>
        <w:tblPrEx>
          <w:tblCellMar>
            <w:top w:w="0" w:type="dxa"/>
            <w:left w:w="0" w:type="dxa"/>
            <w:bottom w:w="0" w:type="dxa"/>
            <w:right w:w="0" w:type="dxa"/>
          </w:tblCellMar>
        </w:tblPrEx>
        <w:trPr>
          <w:trHeight w:val="567" w:hRule="atLeast"/>
          <w:jc w:val="center"/>
        </w:trPr>
        <w:tc>
          <w:tcPr>
            <w:tcW w:w="1150" w:type="dxa"/>
            <w:tcBorders>
              <w:top w:val="single" w:color="000000" w:sz="12" w:space="0"/>
              <w:left w:val="single" w:color="000000" w:sz="12" w:space="0"/>
              <w:bottom w:val="single" w:color="000000" w:sz="6" w:space="0"/>
              <w:right w:val="single" w:color="000000" w:sz="6" w:space="0"/>
            </w:tcBorders>
            <w:tcMar>
              <w:left w:w="108" w:type="dxa"/>
              <w:right w:w="108" w:type="dxa"/>
            </w:tcMar>
            <w:vAlign w:val="center"/>
          </w:tcPr>
          <w:p>
            <w:pPr>
              <w:autoSpaceDE w:val="0"/>
              <w:autoSpaceDN w:val="0"/>
              <w:snapToGrid w:val="0"/>
              <w:jc w:val="center"/>
              <w:rPr>
                <w:rFonts w:cs="Times New Roman"/>
                <w:color w:val="auto"/>
              </w:rPr>
            </w:pPr>
            <w:r>
              <w:rPr>
                <w:rFonts w:hint="eastAsia" w:cs="宋体"/>
                <w:b/>
                <w:bCs/>
                <w:color w:val="auto"/>
                <w:kern w:val="0"/>
              </w:rPr>
              <w:t>条款号</w:t>
            </w:r>
          </w:p>
        </w:tc>
        <w:tc>
          <w:tcPr>
            <w:tcW w:w="1155" w:type="dxa"/>
            <w:tcBorders>
              <w:top w:val="single" w:color="000000" w:sz="12" w:space="0"/>
              <w:left w:val="single" w:color="000000" w:sz="6" w:space="0"/>
              <w:bottom w:val="single" w:color="000000" w:sz="6" w:space="0"/>
              <w:right w:val="single" w:color="000000" w:sz="6" w:space="0"/>
            </w:tcBorders>
            <w:tcMar>
              <w:left w:w="108" w:type="dxa"/>
              <w:right w:w="108" w:type="dxa"/>
            </w:tcMar>
            <w:vAlign w:val="center"/>
          </w:tcPr>
          <w:p>
            <w:pPr>
              <w:autoSpaceDE w:val="0"/>
              <w:autoSpaceDN w:val="0"/>
              <w:snapToGrid w:val="0"/>
              <w:jc w:val="center"/>
              <w:rPr>
                <w:rFonts w:cs="Times New Roman"/>
                <w:b/>
                <w:bCs/>
                <w:color w:val="auto"/>
              </w:rPr>
            </w:pPr>
            <w:r>
              <w:rPr>
                <w:rFonts w:hint="eastAsia" w:cs="宋体"/>
                <w:b/>
                <w:bCs/>
                <w:color w:val="auto"/>
                <w:kern w:val="0"/>
              </w:rPr>
              <w:t>条款内容</w:t>
            </w:r>
          </w:p>
        </w:tc>
        <w:tc>
          <w:tcPr>
            <w:tcW w:w="6599" w:type="dxa"/>
            <w:tcBorders>
              <w:top w:val="single" w:color="000000" w:sz="12" w:space="0"/>
              <w:left w:val="single" w:color="000000" w:sz="6" w:space="0"/>
              <w:bottom w:val="single" w:color="000000" w:sz="6" w:space="0"/>
              <w:right w:val="single" w:color="000000" w:sz="12" w:space="0"/>
            </w:tcBorders>
            <w:tcMar>
              <w:left w:w="108" w:type="dxa"/>
              <w:right w:w="108" w:type="dxa"/>
            </w:tcMar>
            <w:vAlign w:val="center"/>
          </w:tcPr>
          <w:p>
            <w:pPr>
              <w:autoSpaceDE w:val="0"/>
              <w:autoSpaceDN w:val="0"/>
              <w:snapToGrid w:val="0"/>
              <w:spacing w:line="260" w:lineRule="exact"/>
              <w:jc w:val="center"/>
              <w:rPr>
                <w:rFonts w:cs="Times New Roman"/>
                <w:b/>
                <w:bCs/>
                <w:color w:val="auto"/>
              </w:rPr>
            </w:pPr>
            <w:r>
              <w:rPr>
                <w:rFonts w:hint="eastAsia" w:cs="宋体"/>
                <w:b/>
                <w:bCs/>
                <w:color w:val="auto"/>
                <w:kern w:val="0"/>
              </w:rPr>
              <w:t>编列内容</w:t>
            </w:r>
          </w:p>
        </w:tc>
      </w:tr>
      <w:tr>
        <w:tblPrEx>
          <w:tblCellMar>
            <w:top w:w="0" w:type="dxa"/>
            <w:left w:w="0" w:type="dxa"/>
            <w:bottom w:w="0" w:type="dxa"/>
            <w:right w:w="0" w:type="dxa"/>
          </w:tblCellMar>
        </w:tblPrEx>
        <w:trPr>
          <w:trHeight w:val="3672" w:hRule="atLeast"/>
          <w:jc w:val="center"/>
        </w:trPr>
        <w:tc>
          <w:tcPr>
            <w:tcW w:w="1150" w:type="dxa"/>
            <w:tcBorders>
              <w:top w:val="single" w:color="000000" w:sz="6" w:space="0"/>
              <w:left w:val="single" w:color="000000" w:sz="12" w:space="0"/>
              <w:bottom w:val="single" w:color="000000" w:sz="6" w:space="0"/>
              <w:right w:val="single" w:color="000000" w:sz="6" w:space="0"/>
            </w:tcBorders>
            <w:tcMar>
              <w:left w:w="108" w:type="dxa"/>
              <w:right w:w="108" w:type="dxa"/>
            </w:tcMar>
            <w:vAlign w:val="center"/>
          </w:tcPr>
          <w:p>
            <w:pPr>
              <w:autoSpaceDE w:val="0"/>
              <w:autoSpaceDN w:val="0"/>
              <w:snapToGrid w:val="0"/>
              <w:jc w:val="center"/>
              <w:rPr>
                <w:rFonts w:cs="Times New Roman"/>
                <w:color w:val="auto"/>
              </w:rPr>
            </w:pPr>
            <w:r>
              <w:rPr>
                <w:color w:val="auto"/>
                <w:kern w:val="0"/>
              </w:rPr>
              <w:t>2.2.2</w:t>
            </w:r>
          </w:p>
        </w:tc>
        <w:tc>
          <w:tcPr>
            <w:tcW w:w="1155" w:type="dxa"/>
            <w:tcBorders>
              <w:top w:val="single" w:color="000000" w:sz="6" w:space="0"/>
              <w:left w:val="single" w:color="000000" w:sz="6" w:space="0"/>
              <w:bottom w:val="single" w:color="000000" w:sz="6" w:space="0"/>
              <w:right w:val="single" w:color="000000" w:sz="6" w:space="0"/>
            </w:tcBorders>
            <w:tcMar>
              <w:left w:w="108" w:type="dxa"/>
              <w:right w:w="108" w:type="dxa"/>
            </w:tcMar>
            <w:vAlign w:val="center"/>
          </w:tcPr>
          <w:p>
            <w:pPr>
              <w:autoSpaceDE w:val="0"/>
              <w:autoSpaceDN w:val="0"/>
              <w:snapToGrid w:val="0"/>
              <w:jc w:val="center"/>
              <w:rPr>
                <w:rFonts w:cs="Times New Roman"/>
                <w:color w:val="auto"/>
              </w:rPr>
            </w:pPr>
            <w:r>
              <w:rPr>
                <w:rFonts w:hint="eastAsia" w:hAnsi="Times New Roman" w:cs="宋体"/>
                <w:color w:val="auto"/>
                <w:kern w:val="0"/>
              </w:rPr>
              <w:t>评标基准价计算方法</w:t>
            </w:r>
          </w:p>
        </w:tc>
        <w:tc>
          <w:tcPr>
            <w:tcW w:w="6599" w:type="dxa"/>
            <w:tcBorders>
              <w:top w:val="single" w:color="000000" w:sz="6" w:space="0"/>
              <w:left w:val="single" w:color="000000" w:sz="6" w:space="0"/>
              <w:bottom w:val="single" w:color="000000" w:sz="6" w:space="0"/>
              <w:right w:val="single" w:color="000000" w:sz="12" w:space="0"/>
            </w:tcBorders>
            <w:tcMar>
              <w:left w:w="108" w:type="dxa"/>
              <w:right w:w="108" w:type="dxa"/>
            </w:tcMar>
            <w:vAlign w:val="center"/>
          </w:tcPr>
          <w:p>
            <w:pPr>
              <w:autoSpaceDE w:val="0"/>
              <w:autoSpaceDN w:val="0"/>
              <w:snapToGrid w:val="0"/>
              <w:spacing w:line="270" w:lineRule="exact"/>
              <w:ind w:firstLine="210"/>
              <w:rPr>
                <w:rFonts w:hAnsi="Times New Roman" w:cs="Times New Roman"/>
                <w:color w:val="auto"/>
              </w:rPr>
            </w:pPr>
            <w:r>
              <w:rPr>
                <w:rFonts w:hint="eastAsia" w:hAnsi="Times New Roman" w:cs="宋体"/>
                <w:color w:val="auto"/>
                <w:kern w:val="0"/>
              </w:rPr>
              <w:t>评标基准价的计算：</w:t>
            </w:r>
          </w:p>
          <w:p>
            <w:pPr>
              <w:autoSpaceDE w:val="0"/>
              <w:autoSpaceDN w:val="0"/>
              <w:snapToGrid w:val="0"/>
              <w:spacing w:line="270" w:lineRule="exact"/>
              <w:ind w:firstLine="210"/>
              <w:rPr>
                <w:rFonts w:hAnsi="Times New Roman" w:cs="Times New Roman"/>
                <w:color w:val="auto"/>
              </w:rPr>
            </w:pPr>
            <w:r>
              <w:rPr>
                <w:rFonts w:hint="eastAsia" w:hAnsi="Times New Roman" w:cs="宋体"/>
                <w:color w:val="auto"/>
                <w:kern w:val="0"/>
              </w:rPr>
              <w:t>在开标现场，招标人将当场计算并宣布评标基准价。</w:t>
            </w:r>
          </w:p>
          <w:p>
            <w:pPr>
              <w:autoSpaceDE w:val="0"/>
              <w:autoSpaceDN w:val="0"/>
              <w:snapToGrid w:val="0"/>
              <w:spacing w:line="270" w:lineRule="exact"/>
              <w:ind w:firstLine="210"/>
              <w:rPr>
                <w:rFonts w:hAnsi="Times New Roman" w:cs="Times New Roman"/>
                <w:color w:val="auto"/>
              </w:rPr>
            </w:pPr>
            <w:r>
              <w:rPr>
                <w:rFonts w:hint="eastAsia" w:hAnsi="Times New Roman" w:cs="宋体"/>
                <w:color w:val="auto"/>
                <w:kern w:val="0"/>
              </w:rPr>
              <w:t>（</w:t>
            </w:r>
            <w:r>
              <w:rPr>
                <w:rFonts w:hAnsi="Times New Roman"/>
                <w:color w:val="auto"/>
                <w:kern w:val="0"/>
              </w:rPr>
              <w:t>1</w:t>
            </w:r>
            <w:r>
              <w:rPr>
                <w:rFonts w:hint="eastAsia" w:hAnsi="Times New Roman" w:cs="宋体"/>
                <w:color w:val="auto"/>
                <w:kern w:val="0"/>
              </w:rPr>
              <w:t>）</w:t>
            </w:r>
            <w:r>
              <w:rPr>
                <w:rFonts w:hint="eastAsia" w:ascii="Times New Roman" w:hAnsi="Times New Roman" w:cs="宋体"/>
                <w:color w:val="auto"/>
                <w:kern w:val="0"/>
              </w:rPr>
              <w:t>投标价的确定：</w:t>
            </w:r>
          </w:p>
          <w:p>
            <w:pPr>
              <w:autoSpaceDE w:val="0"/>
              <w:autoSpaceDN w:val="0"/>
              <w:snapToGrid w:val="0"/>
              <w:spacing w:line="270" w:lineRule="exact"/>
              <w:ind w:firstLine="210"/>
              <w:rPr>
                <w:rFonts w:hAnsi="Times New Roman" w:cs="Times New Roman"/>
                <w:color w:val="auto"/>
              </w:rPr>
            </w:pPr>
            <w:r>
              <w:rPr>
                <w:rFonts w:hint="eastAsia" w:ascii="Times New Roman" w:hAnsi="Times New Roman" w:cs="宋体"/>
                <w:color w:val="auto"/>
                <w:kern w:val="0"/>
              </w:rPr>
              <w:t>评标价</w:t>
            </w:r>
            <w:r>
              <w:rPr>
                <w:rFonts w:ascii="Times New Roman" w:hAnsi="Times New Roman" w:cs="Times New Roman"/>
                <w:color w:val="auto"/>
                <w:kern w:val="0"/>
              </w:rPr>
              <w:t>=</w:t>
            </w:r>
            <w:r>
              <w:rPr>
                <w:rFonts w:hint="eastAsia" w:ascii="Times New Roman" w:hAnsi="Times New Roman" w:cs="宋体"/>
                <w:color w:val="auto"/>
                <w:kern w:val="0"/>
              </w:rPr>
              <w:t>投标函文字报价</w:t>
            </w:r>
          </w:p>
          <w:p>
            <w:pPr>
              <w:autoSpaceDE w:val="0"/>
              <w:autoSpaceDN w:val="0"/>
              <w:snapToGrid w:val="0"/>
              <w:spacing w:line="270" w:lineRule="exact"/>
              <w:ind w:firstLine="210"/>
              <w:rPr>
                <w:rFonts w:hAnsi="Times New Roman" w:cs="Times New Roman"/>
                <w:color w:val="auto"/>
              </w:rPr>
            </w:pPr>
            <w:r>
              <w:rPr>
                <w:rFonts w:hint="eastAsia" w:ascii="Times New Roman" w:hAnsi="Times New Roman" w:cs="宋体"/>
                <w:color w:val="auto"/>
                <w:kern w:val="0"/>
              </w:rPr>
              <w:t>（</w:t>
            </w:r>
            <w:r>
              <w:rPr>
                <w:rFonts w:ascii="Times New Roman" w:hAnsi="Times New Roman" w:cs="Times New Roman"/>
                <w:color w:val="auto"/>
                <w:kern w:val="0"/>
              </w:rPr>
              <w:t>2</w:t>
            </w:r>
            <w:r>
              <w:rPr>
                <w:rFonts w:hint="eastAsia" w:ascii="Times New Roman" w:hAnsi="Times New Roman" w:cs="宋体"/>
                <w:color w:val="auto"/>
                <w:kern w:val="0"/>
              </w:rPr>
              <w:t>）评标价平均值的计算：</w:t>
            </w:r>
          </w:p>
          <w:p>
            <w:pPr>
              <w:autoSpaceDE w:val="0"/>
              <w:autoSpaceDN w:val="0"/>
              <w:snapToGrid w:val="0"/>
              <w:spacing w:line="270" w:lineRule="exact"/>
              <w:ind w:firstLine="210"/>
              <w:rPr>
                <w:rFonts w:cs="Times New Roman"/>
                <w:color w:val="auto"/>
              </w:rPr>
            </w:pPr>
            <w:r>
              <w:rPr>
                <w:rFonts w:hint="eastAsia" w:cs="宋体"/>
                <w:color w:val="auto"/>
                <w:kern w:val="0"/>
              </w:rPr>
              <w:t>除第二章</w:t>
            </w:r>
            <w:r>
              <w:rPr>
                <w:color w:val="auto"/>
                <w:kern w:val="0"/>
              </w:rPr>
              <w:t>“</w:t>
            </w:r>
            <w:r>
              <w:rPr>
                <w:rFonts w:hint="eastAsia" w:cs="宋体"/>
                <w:color w:val="auto"/>
                <w:kern w:val="0"/>
              </w:rPr>
              <w:t>投标人须知</w:t>
            </w:r>
            <w:r>
              <w:rPr>
                <w:color w:val="auto"/>
                <w:kern w:val="0"/>
              </w:rPr>
              <w:t>”</w:t>
            </w:r>
            <w:r>
              <w:rPr>
                <w:rFonts w:hint="eastAsia" w:cs="宋体"/>
                <w:color w:val="auto"/>
                <w:kern w:val="0"/>
              </w:rPr>
              <w:t>第</w:t>
            </w:r>
            <w:r>
              <w:rPr>
                <w:color w:val="auto"/>
                <w:kern w:val="0"/>
              </w:rPr>
              <w:t>5.2.4</w:t>
            </w:r>
            <w:r>
              <w:rPr>
                <w:rFonts w:hint="eastAsia" w:cs="宋体"/>
                <w:color w:val="auto"/>
                <w:kern w:val="0"/>
              </w:rPr>
              <w:t>项规定在开标现场被宣布为不进入评标基准价计算的投标报价之外，所有投标人的评标价去掉一个最高值和一个最低值后的算数平均值即为评标价平均值（如果参与评标价平均值计算的投标人少于</w:t>
            </w:r>
            <w:r>
              <w:rPr>
                <w:color w:val="auto"/>
                <w:kern w:val="0"/>
              </w:rPr>
              <w:t>5</w:t>
            </w:r>
            <w:r>
              <w:rPr>
                <w:rFonts w:hint="eastAsia" w:cs="宋体"/>
                <w:color w:val="auto"/>
                <w:kern w:val="0"/>
              </w:rPr>
              <w:t>家时，则计算评标价平均值时不去掉最高值和最低值）。</w:t>
            </w:r>
          </w:p>
          <w:p>
            <w:pPr>
              <w:autoSpaceDE w:val="0"/>
              <w:autoSpaceDN w:val="0"/>
              <w:snapToGrid w:val="0"/>
              <w:spacing w:line="270" w:lineRule="exact"/>
              <w:ind w:firstLine="210"/>
              <w:rPr>
                <w:rFonts w:hAnsi="Times New Roman" w:cs="Times New Roman"/>
                <w:color w:val="auto"/>
              </w:rPr>
            </w:pPr>
            <w:r>
              <w:rPr>
                <w:rFonts w:hint="eastAsia" w:cs="宋体"/>
                <w:color w:val="auto"/>
                <w:kern w:val="0"/>
              </w:rPr>
              <w:t>（</w:t>
            </w:r>
            <w:r>
              <w:rPr>
                <w:color w:val="auto"/>
                <w:kern w:val="0"/>
              </w:rPr>
              <w:t>3</w:t>
            </w:r>
            <w:r>
              <w:rPr>
                <w:rFonts w:hint="eastAsia" w:cs="宋体"/>
                <w:color w:val="auto"/>
                <w:kern w:val="0"/>
              </w:rPr>
              <w:t>）</w:t>
            </w:r>
            <w:r>
              <w:rPr>
                <w:rFonts w:hint="eastAsia" w:hAnsi="Times New Roman" w:cs="宋体"/>
                <w:color w:val="auto"/>
                <w:kern w:val="0"/>
              </w:rPr>
              <w:t>评标基准价的确定：</w:t>
            </w:r>
          </w:p>
          <w:p>
            <w:pPr>
              <w:autoSpaceDE w:val="0"/>
              <w:autoSpaceDN w:val="0"/>
              <w:snapToGrid w:val="0"/>
              <w:spacing w:line="270" w:lineRule="exact"/>
              <w:ind w:firstLine="210"/>
              <w:rPr>
                <w:rFonts w:hAnsi="Times New Roman" w:cs="Times New Roman"/>
                <w:color w:val="auto"/>
              </w:rPr>
            </w:pPr>
            <w:r>
              <w:rPr>
                <w:rFonts w:hint="eastAsia" w:hAnsi="Times New Roman" w:cs="宋体"/>
                <w:color w:val="auto"/>
                <w:kern w:val="0"/>
              </w:rPr>
              <w:t>将</w:t>
            </w:r>
            <w:r>
              <w:rPr>
                <w:rFonts w:hint="eastAsia" w:ascii="Times New Roman" w:hAnsi="Times New Roman" w:cs="宋体"/>
                <w:color w:val="auto"/>
                <w:kern w:val="0"/>
              </w:rPr>
              <w:t>评标价平均值直接作为</w:t>
            </w:r>
            <w:r>
              <w:rPr>
                <w:rFonts w:hint="eastAsia" w:hAnsi="Times New Roman" w:cs="宋体"/>
                <w:color w:val="auto"/>
                <w:kern w:val="0"/>
              </w:rPr>
              <w:t>评标基准价。</w:t>
            </w:r>
          </w:p>
          <w:p>
            <w:pPr>
              <w:autoSpaceDE w:val="0"/>
              <w:autoSpaceDN w:val="0"/>
              <w:snapToGrid w:val="0"/>
              <w:spacing w:line="270" w:lineRule="exact"/>
              <w:ind w:firstLine="210"/>
              <w:rPr>
                <w:rFonts w:hAnsi="Times New Roman" w:cs="Times New Roman"/>
                <w:color w:val="auto"/>
              </w:rPr>
            </w:pPr>
            <w:r>
              <w:rPr>
                <w:rFonts w:hint="eastAsia" w:hAnsi="Times New Roman" w:cs="宋体"/>
                <w:color w:val="auto"/>
                <w:kern w:val="0"/>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CellMar>
            <w:top w:w="0" w:type="dxa"/>
            <w:left w:w="0" w:type="dxa"/>
            <w:bottom w:w="0" w:type="dxa"/>
            <w:right w:w="0" w:type="dxa"/>
          </w:tblCellMar>
        </w:tblPrEx>
        <w:trPr>
          <w:trHeight w:val="968" w:hRule="atLeast"/>
          <w:jc w:val="center"/>
        </w:trPr>
        <w:tc>
          <w:tcPr>
            <w:tcW w:w="1150" w:type="dxa"/>
            <w:tcBorders>
              <w:top w:val="single" w:color="000000" w:sz="6" w:space="0"/>
              <w:left w:val="single" w:color="000000" w:sz="12" w:space="0"/>
              <w:bottom w:val="single" w:color="000000" w:sz="12" w:space="0"/>
              <w:right w:val="single" w:color="000000" w:sz="6" w:space="0"/>
            </w:tcBorders>
            <w:tcMar>
              <w:left w:w="108" w:type="dxa"/>
              <w:right w:w="108" w:type="dxa"/>
            </w:tcMar>
            <w:vAlign w:val="center"/>
          </w:tcPr>
          <w:p>
            <w:pPr>
              <w:autoSpaceDE w:val="0"/>
              <w:autoSpaceDN w:val="0"/>
              <w:snapToGrid w:val="0"/>
              <w:jc w:val="center"/>
              <w:rPr>
                <w:rFonts w:cs="Times New Roman"/>
                <w:color w:val="auto"/>
              </w:rPr>
            </w:pPr>
            <w:r>
              <w:rPr>
                <w:color w:val="auto"/>
                <w:kern w:val="0"/>
              </w:rPr>
              <w:t>2.2.3</w:t>
            </w:r>
          </w:p>
        </w:tc>
        <w:tc>
          <w:tcPr>
            <w:tcW w:w="1155" w:type="dxa"/>
            <w:tcBorders>
              <w:top w:val="single" w:color="000000" w:sz="6" w:space="0"/>
              <w:left w:val="single" w:color="000000" w:sz="6" w:space="0"/>
              <w:bottom w:val="single" w:color="000000" w:sz="12" w:space="0"/>
              <w:right w:val="single" w:color="000000" w:sz="6" w:space="0"/>
            </w:tcBorders>
            <w:tcMar>
              <w:left w:w="108" w:type="dxa"/>
              <w:right w:w="108" w:type="dxa"/>
            </w:tcMar>
            <w:vAlign w:val="center"/>
          </w:tcPr>
          <w:p>
            <w:pPr>
              <w:autoSpaceDE w:val="0"/>
              <w:autoSpaceDN w:val="0"/>
              <w:snapToGrid w:val="0"/>
              <w:jc w:val="center"/>
              <w:rPr>
                <w:rFonts w:hAnsi="Times New Roman" w:cs="Times New Roman"/>
                <w:color w:val="auto"/>
              </w:rPr>
            </w:pPr>
            <w:r>
              <w:rPr>
                <w:rFonts w:hint="eastAsia" w:ascii="Times New Roman" w:hAnsi="Times New Roman" w:cs="宋体"/>
                <w:color w:val="auto"/>
                <w:kern w:val="0"/>
              </w:rPr>
              <w:t>评标价的偏差率计算公式</w:t>
            </w:r>
          </w:p>
        </w:tc>
        <w:tc>
          <w:tcPr>
            <w:tcW w:w="6599" w:type="dxa"/>
            <w:tcBorders>
              <w:top w:val="single" w:color="000000" w:sz="6" w:space="0"/>
              <w:left w:val="single" w:color="000000" w:sz="6" w:space="0"/>
              <w:bottom w:val="single" w:color="000000" w:sz="12" w:space="0"/>
              <w:right w:val="single" w:color="000000" w:sz="12" w:space="0"/>
            </w:tcBorders>
            <w:tcMar>
              <w:left w:w="108" w:type="dxa"/>
              <w:right w:w="108" w:type="dxa"/>
            </w:tcMar>
            <w:vAlign w:val="center"/>
          </w:tcPr>
          <w:p>
            <w:pPr>
              <w:autoSpaceDE w:val="0"/>
              <w:autoSpaceDN w:val="0"/>
              <w:snapToGrid w:val="0"/>
              <w:spacing w:line="270" w:lineRule="exact"/>
              <w:ind w:firstLine="210"/>
              <w:rPr>
                <w:rFonts w:hAnsi="Times New Roman" w:cs="Times New Roman"/>
                <w:color w:val="auto"/>
              </w:rPr>
            </w:pPr>
            <w:r>
              <w:rPr>
                <w:rFonts w:hint="eastAsia" w:hAnsi="Times New Roman" w:cs="宋体"/>
                <w:color w:val="auto"/>
                <w:kern w:val="0"/>
              </w:rPr>
              <w:t>偏差率</w:t>
            </w:r>
            <w:r>
              <w:rPr>
                <w:rFonts w:hAnsi="Times New Roman"/>
                <w:color w:val="auto"/>
                <w:kern w:val="0"/>
              </w:rPr>
              <w:t>=100</w:t>
            </w:r>
            <w:r>
              <w:rPr>
                <w:rFonts w:hint="eastAsia" w:hAnsi="Times New Roman" w:cs="宋体"/>
                <w:color w:val="auto"/>
                <w:kern w:val="0"/>
              </w:rPr>
              <w:t>％</w:t>
            </w:r>
            <w:r>
              <w:rPr>
                <w:rFonts w:hAnsi="Times New Roman" w:cs="Times New Roman"/>
                <w:color w:val="auto"/>
                <w:kern w:val="0"/>
              </w:rPr>
              <w:t>×</w:t>
            </w:r>
            <w:r>
              <w:rPr>
                <w:rFonts w:hAnsi="Times New Roman"/>
                <w:color w:val="auto"/>
                <w:kern w:val="0"/>
              </w:rPr>
              <w:t>(</w:t>
            </w:r>
            <w:r>
              <w:rPr>
                <w:rFonts w:hint="eastAsia" w:hAnsi="Times New Roman" w:cs="宋体"/>
                <w:color w:val="auto"/>
                <w:kern w:val="0"/>
              </w:rPr>
              <w:t>投标人评标价－评标基准价</w:t>
            </w:r>
            <w:r>
              <w:rPr>
                <w:rFonts w:hAnsi="Times New Roman"/>
                <w:color w:val="auto"/>
                <w:kern w:val="0"/>
              </w:rPr>
              <w:t>)</w:t>
            </w:r>
            <w:r>
              <w:rPr>
                <w:rFonts w:hint="eastAsia" w:hAnsi="Times New Roman" w:cs="宋体"/>
                <w:color w:val="auto"/>
                <w:kern w:val="0"/>
              </w:rPr>
              <w:t>／评标基准价</w:t>
            </w:r>
          </w:p>
          <w:p>
            <w:pPr>
              <w:autoSpaceDE w:val="0"/>
              <w:autoSpaceDN w:val="0"/>
              <w:snapToGrid w:val="0"/>
              <w:spacing w:line="270" w:lineRule="exact"/>
              <w:ind w:firstLine="210"/>
              <w:rPr>
                <w:rFonts w:hAnsi="Times New Roman" w:cs="Times New Roman"/>
                <w:color w:val="auto"/>
              </w:rPr>
            </w:pPr>
            <w:r>
              <w:rPr>
                <w:rFonts w:hint="eastAsia" w:hAnsi="Times New Roman" w:cs="宋体"/>
                <w:color w:val="auto"/>
                <w:kern w:val="0"/>
              </w:rPr>
              <w:t>偏差率保留</w:t>
            </w:r>
            <w:r>
              <w:rPr>
                <w:rFonts w:hAnsi="Times New Roman"/>
                <w:color w:val="auto"/>
                <w:kern w:val="0"/>
                <w:u w:val="single"/>
              </w:rPr>
              <w:t xml:space="preserve">  2  </w:t>
            </w:r>
            <w:r>
              <w:rPr>
                <w:rFonts w:hint="eastAsia" w:hAnsi="Times New Roman" w:cs="宋体"/>
                <w:color w:val="auto"/>
                <w:kern w:val="0"/>
              </w:rPr>
              <w:t>位小数</w:t>
            </w:r>
          </w:p>
        </w:tc>
      </w:tr>
    </w:tbl>
    <w:p>
      <w:pPr>
        <w:autoSpaceDE w:val="0"/>
        <w:autoSpaceDN w:val="0"/>
        <w:snapToGrid w:val="0"/>
        <w:spacing w:line="400" w:lineRule="atLeast"/>
        <w:jc w:val="right"/>
        <w:rPr>
          <w:rFonts w:hAnsi="Times New Roman" w:cs="Times New Roman"/>
          <w:color w:val="auto"/>
        </w:rPr>
      </w:pPr>
    </w:p>
    <w:p>
      <w:pPr>
        <w:autoSpaceDE w:val="0"/>
        <w:autoSpaceDN w:val="0"/>
        <w:snapToGrid w:val="0"/>
        <w:spacing w:line="400" w:lineRule="atLeast"/>
        <w:jc w:val="right"/>
        <w:rPr>
          <w:rFonts w:hAnsi="Times New Roman" w:cs="Times New Roman"/>
          <w:color w:val="auto"/>
        </w:rPr>
      </w:pPr>
    </w:p>
    <w:p>
      <w:pPr>
        <w:autoSpaceDE w:val="0"/>
        <w:autoSpaceDN w:val="0"/>
        <w:snapToGrid w:val="0"/>
        <w:spacing w:line="400" w:lineRule="atLeast"/>
        <w:jc w:val="right"/>
        <w:rPr>
          <w:rFonts w:hAnsi="Times New Roman" w:cs="Times New Roman"/>
          <w:color w:val="auto"/>
        </w:rPr>
      </w:pPr>
    </w:p>
    <w:p>
      <w:pPr>
        <w:autoSpaceDE w:val="0"/>
        <w:autoSpaceDN w:val="0"/>
        <w:snapToGrid w:val="0"/>
        <w:spacing w:line="400" w:lineRule="atLeast"/>
        <w:jc w:val="right"/>
        <w:rPr>
          <w:rFonts w:hAnsi="Times New Roman" w:cs="Times New Roman"/>
          <w:color w:val="auto"/>
        </w:rPr>
      </w:pPr>
    </w:p>
    <w:p>
      <w:pPr>
        <w:autoSpaceDE w:val="0"/>
        <w:autoSpaceDN w:val="0"/>
        <w:snapToGrid w:val="0"/>
        <w:spacing w:line="400" w:lineRule="atLeast"/>
        <w:jc w:val="right"/>
        <w:rPr>
          <w:rFonts w:hAnsi="Times New Roman" w:cs="Times New Roman"/>
          <w:color w:val="auto"/>
        </w:rPr>
      </w:pPr>
    </w:p>
    <w:p>
      <w:pPr>
        <w:autoSpaceDE w:val="0"/>
        <w:autoSpaceDN w:val="0"/>
        <w:snapToGrid w:val="0"/>
        <w:spacing w:line="400" w:lineRule="atLeast"/>
        <w:jc w:val="right"/>
        <w:rPr>
          <w:rFonts w:hAnsi="Times New Roman" w:cs="Times New Roman"/>
          <w:color w:val="auto"/>
        </w:rPr>
      </w:pPr>
    </w:p>
    <w:p>
      <w:pPr>
        <w:autoSpaceDE w:val="0"/>
        <w:autoSpaceDN w:val="0"/>
        <w:snapToGrid w:val="0"/>
        <w:spacing w:line="400" w:lineRule="atLeast"/>
        <w:jc w:val="right"/>
        <w:rPr>
          <w:rFonts w:hAnsi="Times New Roman" w:cs="Times New Roman"/>
          <w:color w:val="auto"/>
        </w:rPr>
      </w:pPr>
    </w:p>
    <w:p>
      <w:pPr>
        <w:autoSpaceDE w:val="0"/>
        <w:autoSpaceDN w:val="0"/>
        <w:snapToGrid w:val="0"/>
        <w:spacing w:line="400" w:lineRule="atLeast"/>
        <w:jc w:val="right"/>
        <w:rPr>
          <w:rFonts w:hAnsi="Times New Roman" w:cs="Times New Roman"/>
          <w:color w:val="auto"/>
        </w:rPr>
      </w:pPr>
    </w:p>
    <w:p>
      <w:pPr>
        <w:autoSpaceDE w:val="0"/>
        <w:autoSpaceDN w:val="0"/>
        <w:snapToGrid w:val="0"/>
        <w:spacing w:line="400" w:lineRule="atLeast"/>
        <w:jc w:val="right"/>
        <w:rPr>
          <w:rFonts w:hAnsi="Times New Roman" w:cs="Times New Roman"/>
          <w:color w:val="auto"/>
        </w:rPr>
      </w:pPr>
    </w:p>
    <w:p>
      <w:pPr>
        <w:autoSpaceDE w:val="0"/>
        <w:autoSpaceDN w:val="0"/>
        <w:snapToGrid w:val="0"/>
        <w:spacing w:line="400" w:lineRule="atLeast"/>
        <w:jc w:val="right"/>
        <w:rPr>
          <w:rFonts w:hAnsi="Times New Roman" w:cs="Times New Roman"/>
          <w:color w:val="auto"/>
        </w:rPr>
      </w:pPr>
    </w:p>
    <w:p>
      <w:pPr>
        <w:autoSpaceDE w:val="0"/>
        <w:autoSpaceDN w:val="0"/>
        <w:snapToGrid w:val="0"/>
        <w:spacing w:line="400" w:lineRule="atLeast"/>
        <w:jc w:val="right"/>
        <w:rPr>
          <w:rFonts w:hAnsi="Times New Roman" w:cs="Times New Roman"/>
          <w:color w:val="auto"/>
        </w:rPr>
      </w:pPr>
    </w:p>
    <w:p>
      <w:pPr>
        <w:autoSpaceDE w:val="0"/>
        <w:autoSpaceDN w:val="0"/>
        <w:snapToGrid w:val="0"/>
        <w:spacing w:line="400" w:lineRule="atLeast"/>
        <w:jc w:val="right"/>
        <w:rPr>
          <w:rFonts w:hAnsi="Times New Roman" w:cs="Times New Roman"/>
          <w:color w:val="auto"/>
        </w:rPr>
      </w:pPr>
    </w:p>
    <w:p>
      <w:pPr>
        <w:autoSpaceDE w:val="0"/>
        <w:autoSpaceDN w:val="0"/>
        <w:snapToGrid w:val="0"/>
        <w:spacing w:line="400" w:lineRule="atLeast"/>
        <w:jc w:val="right"/>
        <w:rPr>
          <w:rFonts w:hAnsi="Times New Roman" w:cs="Times New Roman"/>
          <w:color w:val="auto"/>
        </w:rPr>
      </w:pPr>
    </w:p>
    <w:p>
      <w:pPr>
        <w:autoSpaceDE w:val="0"/>
        <w:autoSpaceDN w:val="0"/>
        <w:snapToGrid w:val="0"/>
        <w:spacing w:line="400" w:lineRule="atLeast"/>
        <w:jc w:val="right"/>
        <w:rPr>
          <w:rFonts w:hAnsi="Times New Roman" w:cs="Times New Roman"/>
          <w:color w:val="auto"/>
        </w:rPr>
      </w:pPr>
    </w:p>
    <w:p>
      <w:pPr>
        <w:autoSpaceDE w:val="0"/>
        <w:autoSpaceDN w:val="0"/>
        <w:snapToGrid w:val="0"/>
        <w:spacing w:line="400" w:lineRule="atLeast"/>
        <w:jc w:val="right"/>
        <w:rPr>
          <w:rFonts w:hAnsi="Times New Roman" w:cs="Times New Roman"/>
          <w:color w:val="auto"/>
        </w:rPr>
      </w:pPr>
    </w:p>
    <w:p>
      <w:pPr>
        <w:autoSpaceDE w:val="0"/>
        <w:autoSpaceDN w:val="0"/>
        <w:snapToGrid w:val="0"/>
        <w:spacing w:line="400" w:lineRule="atLeast"/>
        <w:jc w:val="right"/>
        <w:rPr>
          <w:rFonts w:hAnsi="Times New Roman" w:cs="Times New Roman"/>
          <w:color w:val="auto"/>
        </w:rPr>
      </w:pPr>
    </w:p>
    <w:p>
      <w:pPr>
        <w:autoSpaceDE w:val="0"/>
        <w:autoSpaceDN w:val="0"/>
        <w:snapToGrid w:val="0"/>
        <w:spacing w:line="400" w:lineRule="atLeast"/>
        <w:jc w:val="right"/>
        <w:rPr>
          <w:rFonts w:hAnsi="Times New Roman" w:cs="Times New Roman"/>
          <w:color w:val="auto"/>
        </w:rPr>
      </w:pPr>
      <w:r>
        <w:rPr>
          <w:rFonts w:hAnsi="Times New Roman" w:cs="Times New Roman"/>
          <w:color w:val="auto"/>
          <w:kern w:val="0"/>
        </w:rPr>
        <w:br w:type="page"/>
      </w:r>
      <w:r>
        <w:rPr>
          <w:rFonts w:hint="eastAsia" w:hAnsi="Times New Roman" w:cs="宋体"/>
          <w:color w:val="auto"/>
          <w:kern w:val="0"/>
        </w:rPr>
        <w:t>续上表</w:t>
      </w:r>
    </w:p>
    <w:tbl>
      <w:tblPr>
        <w:tblStyle w:val="20"/>
        <w:tblW w:w="9541"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196"/>
        <w:gridCol w:w="567"/>
        <w:gridCol w:w="567"/>
        <w:gridCol w:w="1134"/>
        <w:gridCol w:w="2106"/>
        <w:gridCol w:w="870"/>
        <w:gridCol w:w="3101"/>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jc w:val="center"/>
        </w:trPr>
        <w:tc>
          <w:tcPr>
            <w:tcW w:w="6440" w:type="dxa"/>
            <w:gridSpan w:val="6"/>
            <w:tcBorders>
              <w:top w:val="single" w:color="auto" w:sz="4" w:space="0"/>
              <w:bottom w:val="single" w:color="000000" w:sz="8" w:space="0"/>
              <w:right w:val="single" w:color="000000" w:sz="8" w:space="0"/>
            </w:tcBorders>
            <w:tcMar>
              <w:left w:w="108" w:type="dxa"/>
              <w:right w:w="108" w:type="dxa"/>
            </w:tcMar>
            <w:vAlign w:val="center"/>
          </w:tcPr>
          <w:p>
            <w:pPr>
              <w:autoSpaceDE w:val="0"/>
              <w:autoSpaceDN w:val="0"/>
              <w:snapToGrid w:val="0"/>
              <w:spacing w:line="400" w:lineRule="atLeast"/>
              <w:jc w:val="center"/>
              <w:rPr>
                <w:rFonts w:hAnsi="Times New Roman" w:cs="Times New Roman"/>
                <w:b/>
                <w:bCs/>
                <w:color w:val="auto"/>
              </w:rPr>
            </w:pPr>
            <w:r>
              <w:rPr>
                <w:rFonts w:hint="eastAsia" w:hAnsi="Times New Roman" w:cs="宋体"/>
                <w:b/>
                <w:bCs/>
                <w:color w:val="auto"/>
                <w:kern w:val="0"/>
              </w:rPr>
              <w:t>评分因素与权重分值</w:t>
            </w:r>
          </w:p>
        </w:tc>
        <w:tc>
          <w:tcPr>
            <w:tcW w:w="3101" w:type="dxa"/>
            <w:vMerge w:val="restart"/>
            <w:tcBorders>
              <w:top w:val="single" w:color="auto" w:sz="4" w:space="0"/>
              <w:left w:val="single" w:color="000000" w:sz="8" w:space="0"/>
              <w:bottom w:val="single" w:color="000000" w:sz="8" w:space="0"/>
            </w:tcBorders>
            <w:tcMar>
              <w:left w:w="108" w:type="dxa"/>
              <w:right w:w="108" w:type="dxa"/>
            </w:tcMar>
            <w:vAlign w:val="center"/>
          </w:tcPr>
          <w:p>
            <w:pPr>
              <w:autoSpaceDE w:val="0"/>
              <w:autoSpaceDN w:val="0"/>
              <w:snapToGrid w:val="0"/>
              <w:spacing w:line="400" w:lineRule="atLeast"/>
              <w:jc w:val="center"/>
              <w:rPr>
                <w:rFonts w:hAnsi="Times New Roman" w:cs="Times New Roman"/>
                <w:b/>
                <w:bCs/>
                <w:color w:val="auto"/>
              </w:rPr>
            </w:pPr>
            <w:r>
              <w:rPr>
                <w:rFonts w:hint="eastAsia" w:hAnsi="Times New Roman" w:cs="宋体"/>
                <w:b/>
                <w:bCs/>
                <w:color w:val="auto"/>
                <w:kern w:val="0"/>
              </w:rPr>
              <w:t>评分标准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jc w:val="center"/>
        </w:trPr>
        <w:tc>
          <w:tcPr>
            <w:tcW w:w="1196" w:type="dxa"/>
            <w:tcBorders>
              <w:top w:val="single" w:color="000000" w:sz="8" w:space="0"/>
              <w:bottom w:val="single" w:color="000000" w:sz="8" w:space="0"/>
              <w:right w:val="single" w:color="000000" w:sz="8" w:space="0"/>
            </w:tcBorders>
            <w:tcMar>
              <w:left w:w="108" w:type="dxa"/>
              <w:right w:w="108" w:type="dxa"/>
            </w:tcMar>
            <w:vAlign w:val="center"/>
          </w:tcPr>
          <w:p>
            <w:pPr>
              <w:autoSpaceDE w:val="0"/>
              <w:autoSpaceDN w:val="0"/>
              <w:snapToGrid w:val="0"/>
              <w:spacing w:line="400" w:lineRule="atLeast"/>
              <w:jc w:val="center"/>
              <w:rPr>
                <w:rFonts w:hAnsi="Times New Roman" w:cs="Times New Roman"/>
                <w:b/>
                <w:bCs/>
                <w:color w:val="auto"/>
              </w:rPr>
            </w:pPr>
            <w:r>
              <w:rPr>
                <w:rFonts w:hint="eastAsia" w:hAnsi="Times New Roman" w:cs="宋体"/>
                <w:b/>
                <w:bCs/>
                <w:color w:val="auto"/>
                <w:kern w:val="0"/>
              </w:rPr>
              <w:t>条款号</w:t>
            </w:r>
          </w:p>
        </w:tc>
        <w:tc>
          <w:tcPr>
            <w:tcW w:w="1134" w:type="dxa"/>
            <w:gridSpan w:val="2"/>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autoSpaceDE w:val="0"/>
              <w:autoSpaceDN w:val="0"/>
              <w:snapToGrid w:val="0"/>
              <w:spacing w:line="400" w:lineRule="atLeast"/>
              <w:jc w:val="center"/>
              <w:rPr>
                <w:rFonts w:hAnsi="Times New Roman" w:cs="Times New Roman"/>
                <w:b/>
                <w:bCs/>
                <w:color w:val="auto"/>
              </w:rPr>
            </w:pPr>
            <w:r>
              <w:rPr>
                <w:rFonts w:hint="eastAsia" w:hAnsi="Times New Roman" w:cs="宋体"/>
                <w:b/>
                <w:bCs/>
                <w:color w:val="auto"/>
                <w:kern w:val="0"/>
              </w:rPr>
              <w:t>评分因素</w:t>
            </w:r>
          </w:p>
        </w:tc>
        <w:tc>
          <w:tcPr>
            <w:tcW w:w="1134"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autoSpaceDE w:val="0"/>
              <w:autoSpaceDN w:val="0"/>
              <w:snapToGrid w:val="0"/>
              <w:spacing w:line="400" w:lineRule="atLeast"/>
              <w:jc w:val="center"/>
              <w:rPr>
                <w:rFonts w:hAnsi="Times New Roman" w:cs="Times New Roman"/>
                <w:b/>
                <w:bCs/>
                <w:color w:val="auto"/>
              </w:rPr>
            </w:pPr>
            <w:r>
              <w:rPr>
                <w:rFonts w:hint="eastAsia" w:hAnsi="Times New Roman" w:cs="宋体"/>
                <w:b/>
                <w:bCs/>
                <w:color w:val="auto"/>
                <w:kern w:val="0"/>
              </w:rPr>
              <w:t>评分因素权重分值</w:t>
            </w:r>
          </w:p>
        </w:tc>
        <w:tc>
          <w:tcPr>
            <w:tcW w:w="2106"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autoSpaceDE w:val="0"/>
              <w:autoSpaceDN w:val="0"/>
              <w:snapToGrid w:val="0"/>
              <w:spacing w:line="400" w:lineRule="atLeast"/>
              <w:jc w:val="center"/>
              <w:rPr>
                <w:rFonts w:hAnsi="Times New Roman" w:cs="Times New Roman"/>
                <w:b/>
                <w:bCs/>
                <w:color w:val="auto"/>
              </w:rPr>
            </w:pPr>
            <w:r>
              <w:rPr>
                <w:rFonts w:hint="eastAsia" w:hAnsi="Times New Roman" w:cs="宋体"/>
                <w:b/>
                <w:bCs/>
                <w:color w:val="auto"/>
                <w:kern w:val="0"/>
              </w:rPr>
              <w:t>各评分因素细分项</w:t>
            </w:r>
          </w:p>
        </w:tc>
        <w:tc>
          <w:tcPr>
            <w:tcW w:w="870"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autoSpaceDE w:val="0"/>
              <w:autoSpaceDN w:val="0"/>
              <w:snapToGrid w:val="0"/>
              <w:spacing w:line="400" w:lineRule="atLeast"/>
              <w:jc w:val="center"/>
              <w:rPr>
                <w:rFonts w:hAnsi="Times New Roman" w:cs="Times New Roman"/>
                <w:b/>
                <w:bCs/>
                <w:color w:val="auto"/>
              </w:rPr>
            </w:pPr>
            <w:r>
              <w:rPr>
                <w:rFonts w:hint="eastAsia" w:hAnsi="Times New Roman" w:cs="宋体"/>
                <w:b/>
                <w:bCs/>
                <w:color w:val="auto"/>
                <w:kern w:val="0"/>
              </w:rPr>
              <w:t>分值</w:t>
            </w:r>
          </w:p>
        </w:tc>
        <w:tc>
          <w:tcPr>
            <w:tcW w:w="3101" w:type="dxa"/>
            <w:vMerge w:val="continue"/>
            <w:tcBorders>
              <w:top w:val="single" w:color="000000" w:sz="12" w:space="0"/>
              <w:left w:val="single" w:color="000000" w:sz="8" w:space="0"/>
              <w:bottom w:val="single" w:color="000000" w:sz="8" w:space="0"/>
            </w:tcBorders>
            <w:tcMar>
              <w:left w:w="108" w:type="dxa"/>
              <w:right w:w="108" w:type="dxa"/>
            </w:tcMar>
            <w:vAlign w:val="center"/>
          </w:tcPr>
          <w:p>
            <w:pPr>
              <w:rPr>
                <w:rFonts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89" w:hRule="atLeast"/>
          <w:jc w:val="center"/>
        </w:trPr>
        <w:tc>
          <w:tcPr>
            <w:tcW w:w="1196" w:type="dxa"/>
            <w:vMerge w:val="restart"/>
            <w:tcBorders>
              <w:top w:val="single" w:color="000000" w:sz="8" w:space="0"/>
              <w:bottom w:val="single" w:color="000000" w:sz="8" w:space="0"/>
              <w:right w:val="single" w:color="000000" w:sz="8" w:space="0"/>
            </w:tcBorders>
            <w:tcMar>
              <w:left w:w="108" w:type="dxa"/>
              <w:right w:w="108" w:type="dxa"/>
            </w:tcMar>
            <w:vAlign w:val="center"/>
          </w:tcPr>
          <w:p>
            <w:pPr>
              <w:autoSpaceDE w:val="0"/>
              <w:autoSpaceDN w:val="0"/>
              <w:snapToGrid w:val="0"/>
              <w:spacing w:line="400" w:lineRule="atLeast"/>
              <w:jc w:val="center"/>
              <w:rPr>
                <w:rFonts w:hAnsi="Times New Roman" w:cs="Times New Roman"/>
                <w:color w:val="auto"/>
              </w:rPr>
            </w:pPr>
            <w:r>
              <w:rPr>
                <w:rFonts w:hAnsi="Times New Roman"/>
                <w:color w:val="auto"/>
                <w:kern w:val="0"/>
              </w:rPr>
              <w:t>2.2.4</w:t>
            </w:r>
            <w:r>
              <w:rPr>
                <w:rFonts w:hint="eastAsia" w:hAnsi="Times New Roman" w:cs="宋体"/>
                <w:color w:val="auto"/>
                <w:kern w:val="0"/>
              </w:rPr>
              <w:t>（</w:t>
            </w:r>
            <w:r>
              <w:rPr>
                <w:rFonts w:hAnsi="Times New Roman"/>
                <w:color w:val="auto"/>
                <w:kern w:val="0"/>
              </w:rPr>
              <w:t>1</w:t>
            </w:r>
            <w:r>
              <w:rPr>
                <w:rFonts w:hint="eastAsia" w:hAnsi="Times New Roman" w:cs="宋体"/>
                <w:color w:val="auto"/>
                <w:kern w:val="0"/>
              </w:rPr>
              <w:t>）</w:t>
            </w:r>
          </w:p>
        </w:tc>
        <w:tc>
          <w:tcPr>
            <w:tcW w:w="1134" w:type="dxa"/>
            <w:gridSpan w:val="2"/>
            <w:vMerge w:val="restart"/>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autoSpaceDE w:val="0"/>
              <w:autoSpaceDN w:val="0"/>
              <w:snapToGrid w:val="0"/>
              <w:spacing w:line="400" w:lineRule="atLeast"/>
              <w:jc w:val="center"/>
              <w:rPr>
                <w:rFonts w:hAnsi="Times New Roman" w:cs="Times New Roman"/>
                <w:color w:val="auto"/>
              </w:rPr>
            </w:pPr>
            <w:r>
              <w:rPr>
                <w:rFonts w:hint="eastAsia" w:hAnsi="Times New Roman" w:cs="宋体"/>
                <w:color w:val="auto"/>
                <w:kern w:val="0"/>
              </w:rPr>
              <w:t>技术建议书</w:t>
            </w:r>
          </w:p>
        </w:tc>
        <w:tc>
          <w:tcPr>
            <w:tcW w:w="1134" w:type="dxa"/>
            <w:vMerge w:val="restart"/>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autoSpaceDE w:val="0"/>
              <w:autoSpaceDN w:val="0"/>
              <w:snapToGrid w:val="0"/>
              <w:spacing w:line="400" w:lineRule="atLeast"/>
              <w:jc w:val="center"/>
              <w:rPr>
                <w:rFonts w:hAnsi="Times New Roman" w:cs="Times New Roman"/>
                <w:color w:val="auto"/>
              </w:rPr>
            </w:pPr>
            <w:r>
              <w:rPr>
                <w:rFonts w:hint="eastAsia" w:hAnsi="Times New Roman"/>
                <w:color w:val="auto"/>
                <w:kern w:val="0"/>
                <w:u w:val="single"/>
              </w:rPr>
              <w:t>45</w:t>
            </w:r>
            <w:r>
              <w:rPr>
                <w:rFonts w:hint="eastAsia" w:hAnsi="Times New Roman" w:cs="宋体"/>
                <w:color w:val="auto"/>
                <w:kern w:val="0"/>
              </w:rPr>
              <w:t>分</w:t>
            </w:r>
          </w:p>
        </w:tc>
        <w:tc>
          <w:tcPr>
            <w:tcW w:w="2106"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autoSpaceDE w:val="0"/>
              <w:autoSpaceDN w:val="0"/>
              <w:snapToGrid w:val="0"/>
              <w:spacing w:line="280" w:lineRule="exact"/>
              <w:rPr>
                <w:rFonts w:cs="Times New Roman"/>
                <w:color w:val="auto"/>
              </w:rPr>
            </w:pPr>
            <w:r>
              <w:rPr>
                <w:rFonts w:hint="eastAsia" w:cs="宋体"/>
                <w:color w:val="auto"/>
              </w:rPr>
              <w:t>对招标项目的理解和总体设计思路</w:t>
            </w:r>
          </w:p>
        </w:tc>
        <w:tc>
          <w:tcPr>
            <w:tcW w:w="870"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autoSpaceDE w:val="0"/>
              <w:autoSpaceDN w:val="0"/>
              <w:snapToGrid w:val="0"/>
              <w:spacing w:line="312" w:lineRule="auto"/>
              <w:jc w:val="center"/>
              <w:rPr>
                <w:rFonts w:hAnsi="Times New Roman" w:cs="Times New Roman"/>
                <w:color w:val="auto"/>
              </w:rPr>
            </w:pPr>
            <w:r>
              <w:rPr>
                <w:rFonts w:hint="eastAsia" w:hAnsi="Times New Roman"/>
                <w:color w:val="auto"/>
                <w:kern w:val="0"/>
                <w:u w:val="single"/>
              </w:rPr>
              <w:t>15</w:t>
            </w:r>
            <w:r>
              <w:rPr>
                <w:rFonts w:hint="eastAsia" w:hAnsi="Times New Roman" w:cs="宋体"/>
                <w:color w:val="auto"/>
                <w:kern w:val="0"/>
              </w:rPr>
              <w:t>分</w:t>
            </w:r>
          </w:p>
        </w:tc>
        <w:tc>
          <w:tcPr>
            <w:tcW w:w="3101" w:type="dxa"/>
            <w:tcBorders>
              <w:top w:val="single" w:color="000000" w:sz="8" w:space="0"/>
              <w:left w:val="single" w:color="000000" w:sz="8" w:space="0"/>
              <w:bottom w:val="single" w:color="000000" w:sz="8" w:space="0"/>
            </w:tcBorders>
            <w:tcMar>
              <w:left w:w="108" w:type="dxa"/>
              <w:right w:w="108" w:type="dxa"/>
            </w:tcMar>
            <w:vAlign w:val="center"/>
          </w:tcPr>
          <w:p>
            <w:pPr>
              <w:autoSpaceDE w:val="0"/>
              <w:autoSpaceDN w:val="0"/>
              <w:snapToGrid w:val="0"/>
              <w:spacing w:line="312" w:lineRule="auto"/>
              <w:rPr>
                <w:rFonts w:cs="宋体"/>
                <w:color w:val="auto"/>
              </w:rPr>
            </w:pPr>
            <w:r>
              <w:rPr>
                <w:rFonts w:hint="eastAsia" w:cs="宋体"/>
                <w:color w:val="auto"/>
              </w:rPr>
              <w:t>合理得基本分9分，根据详尽及</w:t>
            </w:r>
          </w:p>
          <w:p>
            <w:pPr>
              <w:autoSpaceDE w:val="0"/>
              <w:autoSpaceDN w:val="0"/>
              <w:snapToGrid w:val="0"/>
              <w:spacing w:line="312" w:lineRule="auto"/>
              <w:rPr>
                <w:rFonts w:cs="Times New Roman"/>
                <w:color w:val="auto"/>
              </w:rPr>
            </w:pPr>
            <w:r>
              <w:rPr>
                <w:rFonts w:hint="eastAsia" w:cs="宋体"/>
                <w:color w:val="auto"/>
              </w:rPr>
              <w:t>优劣程度酌情加0-6分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15" w:hRule="atLeast"/>
          <w:jc w:val="center"/>
        </w:trPr>
        <w:tc>
          <w:tcPr>
            <w:tcW w:w="1196" w:type="dxa"/>
            <w:vMerge w:val="continue"/>
            <w:tcBorders>
              <w:top w:val="single" w:color="000000" w:sz="8" w:space="0"/>
              <w:bottom w:val="single" w:color="000000" w:sz="8" w:space="0"/>
              <w:right w:val="single" w:color="000000" w:sz="8" w:space="0"/>
            </w:tcBorders>
            <w:tcMar>
              <w:left w:w="108" w:type="dxa"/>
              <w:right w:w="108" w:type="dxa"/>
            </w:tcMar>
            <w:vAlign w:val="center"/>
          </w:tcPr>
          <w:p>
            <w:pPr>
              <w:rPr>
                <w:rFonts w:cs="Times New Roman"/>
                <w:color w:val="auto"/>
                <w:sz w:val="20"/>
                <w:szCs w:val="20"/>
              </w:rPr>
            </w:pPr>
          </w:p>
        </w:tc>
        <w:tc>
          <w:tcPr>
            <w:tcW w:w="1134" w:type="dxa"/>
            <w:gridSpan w:val="2"/>
            <w:vMerge w:val="continue"/>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rPr>
                <w:rFonts w:cs="Times New Roman"/>
                <w:color w:val="auto"/>
                <w:sz w:val="20"/>
                <w:szCs w:val="20"/>
              </w:rPr>
            </w:pPr>
          </w:p>
        </w:tc>
        <w:tc>
          <w:tcPr>
            <w:tcW w:w="1134" w:type="dxa"/>
            <w:vMerge w:val="continue"/>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rPr>
                <w:rFonts w:cs="Times New Roman"/>
                <w:color w:val="auto"/>
                <w:sz w:val="20"/>
                <w:szCs w:val="20"/>
              </w:rPr>
            </w:pPr>
          </w:p>
        </w:tc>
        <w:tc>
          <w:tcPr>
            <w:tcW w:w="2106"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autoSpaceDE w:val="0"/>
              <w:autoSpaceDN w:val="0"/>
              <w:snapToGrid w:val="0"/>
              <w:spacing w:line="280" w:lineRule="exact"/>
              <w:rPr>
                <w:rFonts w:cs="Times New Roman"/>
                <w:color w:val="auto"/>
              </w:rPr>
            </w:pPr>
            <w:r>
              <w:rPr>
                <w:rFonts w:hint="eastAsia" w:cs="宋体"/>
                <w:color w:val="auto"/>
              </w:rPr>
              <w:t>招标项目勘察的特点、关键技术问题的认识及其对策措施</w:t>
            </w:r>
          </w:p>
        </w:tc>
        <w:tc>
          <w:tcPr>
            <w:tcW w:w="870"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autoSpaceDE w:val="0"/>
              <w:autoSpaceDN w:val="0"/>
              <w:snapToGrid w:val="0"/>
              <w:spacing w:line="312" w:lineRule="auto"/>
              <w:jc w:val="center"/>
              <w:rPr>
                <w:rFonts w:hAnsi="Times New Roman" w:cs="Times New Roman"/>
                <w:color w:val="auto"/>
                <w:u w:val="single"/>
              </w:rPr>
            </w:pPr>
            <w:r>
              <w:rPr>
                <w:rFonts w:hint="eastAsia" w:hAnsi="Times New Roman"/>
                <w:color w:val="auto"/>
                <w:kern w:val="0"/>
                <w:u w:val="single"/>
              </w:rPr>
              <w:t>15</w:t>
            </w:r>
            <w:r>
              <w:rPr>
                <w:rFonts w:hint="eastAsia" w:hAnsi="Times New Roman" w:cs="宋体"/>
                <w:color w:val="auto"/>
                <w:kern w:val="0"/>
              </w:rPr>
              <w:t>分</w:t>
            </w:r>
          </w:p>
        </w:tc>
        <w:tc>
          <w:tcPr>
            <w:tcW w:w="3101" w:type="dxa"/>
            <w:tcBorders>
              <w:top w:val="single" w:color="000000" w:sz="8" w:space="0"/>
              <w:left w:val="single" w:color="000000" w:sz="8" w:space="0"/>
              <w:bottom w:val="single" w:color="000000" w:sz="8" w:space="0"/>
            </w:tcBorders>
            <w:tcMar>
              <w:left w:w="108" w:type="dxa"/>
              <w:right w:w="108" w:type="dxa"/>
            </w:tcMar>
            <w:vAlign w:val="center"/>
          </w:tcPr>
          <w:p>
            <w:pPr>
              <w:autoSpaceDE w:val="0"/>
              <w:autoSpaceDN w:val="0"/>
              <w:snapToGrid w:val="0"/>
              <w:spacing w:line="312" w:lineRule="auto"/>
              <w:rPr>
                <w:rFonts w:cs="宋体"/>
                <w:color w:val="auto"/>
              </w:rPr>
            </w:pPr>
            <w:r>
              <w:rPr>
                <w:rFonts w:hint="eastAsia" w:cs="宋体"/>
                <w:color w:val="auto"/>
              </w:rPr>
              <w:t>合理得基本分9分，根据详尽及</w:t>
            </w:r>
          </w:p>
          <w:p>
            <w:pPr>
              <w:autoSpaceDE w:val="0"/>
              <w:autoSpaceDN w:val="0"/>
              <w:snapToGrid w:val="0"/>
              <w:spacing w:line="312" w:lineRule="auto"/>
              <w:rPr>
                <w:rFonts w:cs="Times New Roman"/>
                <w:color w:val="auto"/>
              </w:rPr>
            </w:pPr>
            <w:r>
              <w:rPr>
                <w:rFonts w:hint="eastAsia" w:cs="宋体"/>
                <w:color w:val="auto"/>
              </w:rPr>
              <w:t>优劣程度酌情加0-6分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70" w:hRule="atLeast"/>
          <w:jc w:val="center"/>
        </w:trPr>
        <w:tc>
          <w:tcPr>
            <w:tcW w:w="1196" w:type="dxa"/>
            <w:vMerge w:val="continue"/>
            <w:tcBorders>
              <w:top w:val="single" w:color="000000" w:sz="8" w:space="0"/>
              <w:bottom w:val="single" w:color="000000" w:sz="8" w:space="0"/>
              <w:right w:val="single" w:color="000000" w:sz="8" w:space="0"/>
            </w:tcBorders>
            <w:tcMar>
              <w:left w:w="108" w:type="dxa"/>
              <w:right w:w="108" w:type="dxa"/>
            </w:tcMar>
            <w:vAlign w:val="center"/>
          </w:tcPr>
          <w:p>
            <w:pPr>
              <w:rPr>
                <w:rFonts w:cs="Times New Roman"/>
                <w:color w:val="auto"/>
                <w:sz w:val="20"/>
                <w:szCs w:val="20"/>
              </w:rPr>
            </w:pPr>
          </w:p>
        </w:tc>
        <w:tc>
          <w:tcPr>
            <w:tcW w:w="1134" w:type="dxa"/>
            <w:gridSpan w:val="2"/>
            <w:vMerge w:val="continue"/>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rPr>
                <w:rFonts w:cs="Times New Roman"/>
                <w:color w:val="auto"/>
                <w:sz w:val="20"/>
                <w:szCs w:val="20"/>
              </w:rPr>
            </w:pPr>
          </w:p>
        </w:tc>
        <w:tc>
          <w:tcPr>
            <w:tcW w:w="1134" w:type="dxa"/>
            <w:vMerge w:val="continue"/>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rPr>
                <w:rFonts w:cs="Times New Roman"/>
                <w:color w:val="auto"/>
                <w:sz w:val="20"/>
                <w:szCs w:val="20"/>
              </w:rPr>
            </w:pPr>
          </w:p>
        </w:tc>
        <w:tc>
          <w:tcPr>
            <w:tcW w:w="2106"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autoSpaceDE w:val="0"/>
              <w:autoSpaceDN w:val="0"/>
              <w:snapToGrid w:val="0"/>
              <w:spacing w:line="280" w:lineRule="exact"/>
              <w:rPr>
                <w:rFonts w:cs="Times New Roman"/>
                <w:color w:val="auto"/>
              </w:rPr>
            </w:pPr>
            <w:r>
              <w:rPr>
                <w:rFonts w:hint="eastAsia" w:cs="宋体"/>
                <w:color w:val="auto"/>
              </w:rPr>
              <w:t>勘察工作量及计划安排</w:t>
            </w:r>
          </w:p>
        </w:tc>
        <w:tc>
          <w:tcPr>
            <w:tcW w:w="870"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autoSpaceDE w:val="0"/>
              <w:autoSpaceDN w:val="0"/>
              <w:snapToGrid w:val="0"/>
              <w:spacing w:line="312" w:lineRule="auto"/>
              <w:jc w:val="center"/>
              <w:rPr>
                <w:rFonts w:hAnsi="Times New Roman" w:cs="Times New Roman"/>
                <w:color w:val="auto"/>
                <w:u w:val="single"/>
              </w:rPr>
            </w:pPr>
            <w:r>
              <w:rPr>
                <w:rFonts w:hint="eastAsia" w:hAnsi="Times New Roman"/>
                <w:color w:val="auto"/>
                <w:kern w:val="0"/>
                <w:u w:val="single"/>
              </w:rPr>
              <w:t>5</w:t>
            </w:r>
            <w:r>
              <w:rPr>
                <w:rFonts w:hint="eastAsia" w:hAnsi="Times New Roman" w:cs="宋体"/>
                <w:color w:val="auto"/>
                <w:kern w:val="0"/>
              </w:rPr>
              <w:t>分</w:t>
            </w:r>
          </w:p>
        </w:tc>
        <w:tc>
          <w:tcPr>
            <w:tcW w:w="3101" w:type="dxa"/>
            <w:tcBorders>
              <w:top w:val="single" w:color="000000" w:sz="8" w:space="0"/>
              <w:left w:val="single" w:color="000000" w:sz="8" w:space="0"/>
              <w:bottom w:val="single" w:color="000000" w:sz="8" w:space="0"/>
            </w:tcBorders>
            <w:tcMar>
              <w:left w:w="108" w:type="dxa"/>
              <w:right w:w="108" w:type="dxa"/>
            </w:tcMar>
            <w:vAlign w:val="center"/>
          </w:tcPr>
          <w:p>
            <w:pPr>
              <w:autoSpaceDE w:val="0"/>
              <w:autoSpaceDN w:val="0"/>
              <w:snapToGrid w:val="0"/>
              <w:spacing w:line="312" w:lineRule="auto"/>
              <w:rPr>
                <w:rFonts w:cs="宋体"/>
                <w:color w:val="auto"/>
              </w:rPr>
            </w:pPr>
            <w:r>
              <w:rPr>
                <w:rFonts w:hint="eastAsia" w:cs="宋体"/>
                <w:color w:val="auto"/>
              </w:rPr>
              <w:t>合理得基本分3分，根据详尽及</w:t>
            </w:r>
          </w:p>
          <w:p>
            <w:pPr>
              <w:autoSpaceDE w:val="0"/>
              <w:autoSpaceDN w:val="0"/>
              <w:snapToGrid w:val="0"/>
              <w:spacing w:line="312" w:lineRule="auto"/>
              <w:rPr>
                <w:rFonts w:cs="Times New Roman"/>
                <w:color w:val="auto"/>
              </w:rPr>
            </w:pPr>
            <w:r>
              <w:rPr>
                <w:rFonts w:hint="eastAsia" w:cs="宋体"/>
                <w:color w:val="auto"/>
              </w:rPr>
              <w:t>优劣程度酌情加0-2分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42" w:hRule="atLeast"/>
          <w:jc w:val="center"/>
        </w:trPr>
        <w:tc>
          <w:tcPr>
            <w:tcW w:w="1196" w:type="dxa"/>
            <w:vMerge w:val="continue"/>
            <w:tcBorders>
              <w:top w:val="single" w:color="000000" w:sz="8" w:space="0"/>
              <w:bottom w:val="single" w:color="000000" w:sz="8" w:space="0"/>
              <w:right w:val="single" w:color="000000" w:sz="8" w:space="0"/>
            </w:tcBorders>
            <w:tcMar>
              <w:left w:w="108" w:type="dxa"/>
              <w:right w:w="108" w:type="dxa"/>
            </w:tcMar>
            <w:vAlign w:val="center"/>
          </w:tcPr>
          <w:p>
            <w:pPr>
              <w:rPr>
                <w:rFonts w:cs="Times New Roman"/>
                <w:color w:val="auto"/>
                <w:sz w:val="20"/>
                <w:szCs w:val="20"/>
              </w:rPr>
            </w:pPr>
          </w:p>
        </w:tc>
        <w:tc>
          <w:tcPr>
            <w:tcW w:w="1134" w:type="dxa"/>
            <w:gridSpan w:val="2"/>
            <w:vMerge w:val="continue"/>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rPr>
                <w:rFonts w:cs="Times New Roman"/>
                <w:color w:val="auto"/>
                <w:sz w:val="20"/>
                <w:szCs w:val="20"/>
              </w:rPr>
            </w:pPr>
          </w:p>
        </w:tc>
        <w:tc>
          <w:tcPr>
            <w:tcW w:w="1134" w:type="dxa"/>
            <w:vMerge w:val="continue"/>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rPr>
                <w:rFonts w:cs="Times New Roman"/>
                <w:color w:val="auto"/>
                <w:sz w:val="20"/>
                <w:szCs w:val="20"/>
              </w:rPr>
            </w:pPr>
          </w:p>
        </w:tc>
        <w:tc>
          <w:tcPr>
            <w:tcW w:w="2106"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autoSpaceDE w:val="0"/>
              <w:autoSpaceDN w:val="0"/>
              <w:snapToGrid w:val="0"/>
              <w:spacing w:line="280" w:lineRule="exact"/>
              <w:rPr>
                <w:rFonts w:cs="Times New Roman"/>
                <w:color w:val="auto"/>
              </w:rPr>
            </w:pPr>
            <w:r>
              <w:rPr>
                <w:rFonts w:hint="eastAsia" w:cs="宋体"/>
                <w:color w:val="auto"/>
              </w:rPr>
              <w:t>勘察的质量保证措施、进度保证措施、安全保证措施</w:t>
            </w:r>
          </w:p>
        </w:tc>
        <w:tc>
          <w:tcPr>
            <w:tcW w:w="870"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autoSpaceDE w:val="0"/>
              <w:autoSpaceDN w:val="0"/>
              <w:snapToGrid w:val="0"/>
              <w:spacing w:line="312" w:lineRule="auto"/>
              <w:jc w:val="center"/>
              <w:rPr>
                <w:rFonts w:hAnsi="Times New Roman" w:cs="Times New Roman"/>
                <w:color w:val="auto"/>
                <w:u w:val="single"/>
              </w:rPr>
            </w:pPr>
            <w:r>
              <w:rPr>
                <w:rFonts w:hAnsi="Times New Roman"/>
                <w:color w:val="auto"/>
                <w:kern w:val="0"/>
                <w:u w:val="single"/>
              </w:rPr>
              <w:t xml:space="preserve"> 5 </w:t>
            </w:r>
            <w:r>
              <w:rPr>
                <w:rFonts w:hint="eastAsia" w:hAnsi="Times New Roman" w:cs="宋体"/>
                <w:color w:val="auto"/>
                <w:kern w:val="0"/>
              </w:rPr>
              <w:t>分</w:t>
            </w:r>
          </w:p>
        </w:tc>
        <w:tc>
          <w:tcPr>
            <w:tcW w:w="3101" w:type="dxa"/>
            <w:tcBorders>
              <w:top w:val="single" w:color="000000" w:sz="8" w:space="0"/>
              <w:left w:val="single" w:color="000000" w:sz="8" w:space="0"/>
              <w:bottom w:val="single" w:color="000000" w:sz="8" w:space="0"/>
            </w:tcBorders>
            <w:tcMar>
              <w:left w:w="108" w:type="dxa"/>
              <w:right w:w="108" w:type="dxa"/>
            </w:tcMar>
            <w:vAlign w:val="center"/>
          </w:tcPr>
          <w:p>
            <w:pPr>
              <w:autoSpaceDE w:val="0"/>
              <w:autoSpaceDN w:val="0"/>
              <w:snapToGrid w:val="0"/>
              <w:spacing w:line="312" w:lineRule="auto"/>
              <w:rPr>
                <w:rFonts w:cs="Times New Roman"/>
                <w:color w:val="auto"/>
              </w:rPr>
            </w:pPr>
            <w:r>
              <w:rPr>
                <w:rFonts w:hint="eastAsia" w:cs="宋体"/>
                <w:color w:val="auto"/>
              </w:rPr>
              <w:t>合理得基本分</w:t>
            </w:r>
            <w:r>
              <w:rPr>
                <w:color w:val="auto"/>
              </w:rPr>
              <w:t>3</w:t>
            </w:r>
            <w:r>
              <w:rPr>
                <w:rFonts w:hint="eastAsia" w:cs="宋体"/>
                <w:color w:val="auto"/>
              </w:rPr>
              <w:t>分，根据详尽及优劣程度酌情加</w:t>
            </w:r>
            <w:r>
              <w:rPr>
                <w:color w:val="auto"/>
              </w:rPr>
              <w:t>0-2</w:t>
            </w:r>
            <w:r>
              <w:rPr>
                <w:rFonts w:hint="eastAsia" w:cs="宋体"/>
                <w:color w:val="auto"/>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38" w:hRule="atLeast"/>
          <w:jc w:val="center"/>
        </w:trPr>
        <w:tc>
          <w:tcPr>
            <w:tcW w:w="1196" w:type="dxa"/>
            <w:vMerge w:val="continue"/>
            <w:tcBorders>
              <w:top w:val="single" w:color="000000" w:sz="8" w:space="0"/>
              <w:bottom w:val="single" w:color="000000" w:sz="8" w:space="0"/>
              <w:right w:val="single" w:color="000000" w:sz="8" w:space="0"/>
            </w:tcBorders>
            <w:tcMar>
              <w:left w:w="108" w:type="dxa"/>
              <w:right w:w="108" w:type="dxa"/>
            </w:tcMar>
            <w:vAlign w:val="center"/>
          </w:tcPr>
          <w:p>
            <w:pPr>
              <w:rPr>
                <w:rFonts w:cs="Times New Roman"/>
                <w:color w:val="auto"/>
                <w:sz w:val="20"/>
                <w:szCs w:val="20"/>
              </w:rPr>
            </w:pPr>
          </w:p>
        </w:tc>
        <w:tc>
          <w:tcPr>
            <w:tcW w:w="1134" w:type="dxa"/>
            <w:gridSpan w:val="2"/>
            <w:vMerge w:val="continue"/>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rPr>
                <w:rFonts w:cs="Times New Roman"/>
                <w:color w:val="auto"/>
                <w:sz w:val="20"/>
                <w:szCs w:val="20"/>
              </w:rPr>
            </w:pPr>
          </w:p>
        </w:tc>
        <w:tc>
          <w:tcPr>
            <w:tcW w:w="1134" w:type="dxa"/>
            <w:vMerge w:val="continue"/>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rPr>
                <w:rFonts w:cs="Times New Roman"/>
                <w:color w:val="auto"/>
                <w:sz w:val="20"/>
                <w:szCs w:val="20"/>
              </w:rPr>
            </w:pPr>
          </w:p>
        </w:tc>
        <w:tc>
          <w:tcPr>
            <w:tcW w:w="2106" w:type="dxa"/>
            <w:tcBorders>
              <w:top w:val="single" w:color="000000" w:sz="8" w:space="0"/>
              <w:left w:val="single" w:color="000000" w:sz="8" w:space="0"/>
              <w:right w:val="single" w:color="000000" w:sz="8" w:space="0"/>
            </w:tcBorders>
            <w:tcMar>
              <w:left w:w="108" w:type="dxa"/>
              <w:right w:w="108" w:type="dxa"/>
            </w:tcMar>
            <w:vAlign w:val="center"/>
          </w:tcPr>
          <w:p>
            <w:pPr>
              <w:autoSpaceDE w:val="0"/>
              <w:autoSpaceDN w:val="0"/>
              <w:snapToGrid w:val="0"/>
              <w:spacing w:line="280" w:lineRule="exact"/>
              <w:rPr>
                <w:rFonts w:cs="Times New Roman"/>
                <w:color w:val="auto"/>
              </w:rPr>
            </w:pPr>
            <w:r>
              <w:rPr>
                <w:rFonts w:hint="eastAsia" w:cs="宋体"/>
                <w:color w:val="auto"/>
              </w:rPr>
              <w:t>后续服务的安排及保证措施</w:t>
            </w:r>
          </w:p>
        </w:tc>
        <w:tc>
          <w:tcPr>
            <w:tcW w:w="870" w:type="dxa"/>
            <w:tcBorders>
              <w:top w:val="single" w:color="000000" w:sz="8" w:space="0"/>
              <w:left w:val="single" w:color="000000" w:sz="8" w:space="0"/>
              <w:right w:val="single" w:color="000000" w:sz="8" w:space="0"/>
            </w:tcBorders>
            <w:tcMar>
              <w:left w:w="108" w:type="dxa"/>
              <w:right w:w="108" w:type="dxa"/>
            </w:tcMar>
            <w:vAlign w:val="center"/>
          </w:tcPr>
          <w:p>
            <w:pPr>
              <w:autoSpaceDE w:val="0"/>
              <w:autoSpaceDN w:val="0"/>
              <w:snapToGrid w:val="0"/>
              <w:spacing w:line="312" w:lineRule="auto"/>
              <w:jc w:val="center"/>
              <w:rPr>
                <w:rFonts w:hAnsi="Times New Roman" w:cs="Times New Roman"/>
                <w:color w:val="auto"/>
                <w:u w:val="single"/>
              </w:rPr>
            </w:pPr>
            <w:r>
              <w:rPr>
                <w:rFonts w:hAnsi="Times New Roman"/>
                <w:color w:val="auto"/>
                <w:kern w:val="0"/>
                <w:u w:val="single"/>
              </w:rPr>
              <w:t xml:space="preserve"> 5 </w:t>
            </w:r>
            <w:r>
              <w:rPr>
                <w:rFonts w:hint="eastAsia" w:hAnsi="Times New Roman" w:cs="宋体"/>
                <w:color w:val="auto"/>
                <w:kern w:val="0"/>
              </w:rPr>
              <w:t>分</w:t>
            </w:r>
          </w:p>
        </w:tc>
        <w:tc>
          <w:tcPr>
            <w:tcW w:w="3101" w:type="dxa"/>
            <w:tcBorders>
              <w:top w:val="single" w:color="000000" w:sz="8" w:space="0"/>
              <w:left w:val="single" w:color="000000" w:sz="8" w:space="0"/>
            </w:tcBorders>
            <w:tcMar>
              <w:left w:w="108" w:type="dxa"/>
              <w:right w:w="108" w:type="dxa"/>
            </w:tcMar>
            <w:vAlign w:val="center"/>
          </w:tcPr>
          <w:p>
            <w:pPr>
              <w:autoSpaceDE w:val="0"/>
              <w:autoSpaceDN w:val="0"/>
              <w:snapToGrid w:val="0"/>
              <w:spacing w:line="312" w:lineRule="auto"/>
              <w:rPr>
                <w:rFonts w:hAnsi="Times New Roman" w:cs="Times New Roman"/>
                <w:color w:val="auto"/>
              </w:rPr>
            </w:pPr>
            <w:r>
              <w:rPr>
                <w:rFonts w:hint="eastAsia" w:hAnsi="Times New Roman" w:cs="宋体"/>
                <w:color w:val="auto"/>
              </w:rPr>
              <w:t>合理得基本分</w:t>
            </w:r>
            <w:r>
              <w:rPr>
                <w:rFonts w:hAnsi="Times New Roman"/>
                <w:color w:val="auto"/>
              </w:rPr>
              <w:t>3</w:t>
            </w:r>
            <w:r>
              <w:rPr>
                <w:rFonts w:hint="eastAsia" w:hAnsi="Times New Roman" w:cs="宋体"/>
                <w:color w:val="auto"/>
              </w:rPr>
              <w:t>分，根据详尽及优劣程度酌情加</w:t>
            </w:r>
            <w:r>
              <w:rPr>
                <w:rFonts w:hAnsi="Times New Roman"/>
                <w:color w:val="auto"/>
              </w:rPr>
              <w:t>0-2</w:t>
            </w:r>
            <w:r>
              <w:rPr>
                <w:rFonts w:hint="eastAsia" w:hAnsi="Times New Roman" w:cs="宋体"/>
                <w:color w:val="auto"/>
              </w:rPr>
              <w:t>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771" w:hRule="atLeast"/>
          <w:jc w:val="center"/>
        </w:trPr>
        <w:tc>
          <w:tcPr>
            <w:tcW w:w="1196" w:type="dxa"/>
            <w:tcBorders>
              <w:top w:val="single" w:color="000000" w:sz="8" w:space="0"/>
              <w:bottom w:val="single" w:color="000000" w:sz="8" w:space="0"/>
              <w:right w:val="single" w:color="000000" w:sz="8" w:space="0"/>
            </w:tcBorders>
            <w:tcMar>
              <w:left w:w="108" w:type="dxa"/>
              <w:right w:w="108" w:type="dxa"/>
            </w:tcMar>
            <w:vAlign w:val="center"/>
          </w:tcPr>
          <w:p>
            <w:pPr>
              <w:autoSpaceDE w:val="0"/>
              <w:autoSpaceDN w:val="0"/>
              <w:snapToGrid w:val="0"/>
              <w:spacing w:line="400" w:lineRule="atLeast"/>
              <w:jc w:val="center"/>
              <w:rPr>
                <w:rFonts w:hAnsi="Times New Roman" w:cs="Times New Roman"/>
                <w:color w:val="auto"/>
              </w:rPr>
            </w:pPr>
            <w:r>
              <w:rPr>
                <w:rFonts w:hAnsi="Times New Roman"/>
                <w:color w:val="auto"/>
                <w:kern w:val="0"/>
              </w:rPr>
              <w:t>2.2.4</w:t>
            </w:r>
            <w:r>
              <w:rPr>
                <w:rFonts w:hint="eastAsia" w:hAnsi="Times New Roman" w:cs="宋体"/>
                <w:color w:val="auto"/>
                <w:kern w:val="0"/>
              </w:rPr>
              <w:t>（</w:t>
            </w:r>
            <w:r>
              <w:rPr>
                <w:rFonts w:hAnsi="Times New Roman"/>
                <w:color w:val="auto"/>
                <w:kern w:val="0"/>
              </w:rPr>
              <w:t>2</w:t>
            </w:r>
            <w:r>
              <w:rPr>
                <w:rFonts w:hint="eastAsia" w:hAnsi="Times New Roman" w:cs="宋体"/>
                <w:color w:val="auto"/>
                <w:kern w:val="0"/>
              </w:rPr>
              <w:t>）</w:t>
            </w:r>
          </w:p>
        </w:tc>
        <w:tc>
          <w:tcPr>
            <w:tcW w:w="1134" w:type="dxa"/>
            <w:gridSpan w:val="2"/>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autoSpaceDE w:val="0"/>
              <w:autoSpaceDN w:val="0"/>
              <w:snapToGrid w:val="0"/>
              <w:spacing w:line="400" w:lineRule="atLeast"/>
              <w:jc w:val="center"/>
              <w:rPr>
                <w:rFonts w:hAnsi="Times New Roman" w:cs="Times New Roman"/>
                <w:color w:val="auto"/>
              </w:rPr>
            </w:pPr>
            <w:r>
              <w:rPr>
                <w:rFonts w:hint="eastAsia" w:hAnsi="Times New Roman" w:cs="宋体"/>
                <w:color w:val="auto"/>
                <w:kern w:val="0"/>
              </w:rPr>
              <w:t>主要人员</w:t>
            </w:r>
          </w:p>
        </w:tc>
        <w:tc>
          <w:tcPr>
            <w:tcW w:w="1134"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autoSpaceDE w:val="0"/>
              <w:autoSpaceDN w:val="0"/>
              <w:snapToGrid w:val="0"/>
              <w:spacing w:line="400" w:lineRule="atLeast"/>
              <w:jc w:val="center"/>
              <w:rPr>
                <w:rFonts w:hAnsi="Times New Roman" w:cs="Times New Roman"/>
                <w:color w:val="auto"/>
              </w:rPr>
            </w:pPr>
            <w:r>
              <w:rPr>
                <w:rFonts w:hAnsi="Times New Roman"/>
                <w:color w:val="auto"/>
                <w:kern w:val="0"/>
                <w:u w:val="single"/>
              </w:rPr>
              <w:t xml:space="preserve">  20  </w:t>
            </w:r>
            <w:r>
              <w:rPr>
                <w:rFonts w:hint="eastAsia" w:hAnsi="Times New Roman" w:cs="宋体"/>
                <w:color w:val="auto"/>
                <w:kern w:val="0"/>
              </w:rPr>
              <w:t>分</w:t>
            </w:r>
          </w:p>
        </w:tc>
        <w:tc>
          <w:tcPr>
            <w:tcW w:w="2106" w:type="dxa"/>
            <w:tcBorders>
              <w:top w:val="single" w:color="000000" w:sz="8" w:space="0"/>
              <w:left w:val="single" w:color="000000" w:sz="8" w:space="0"/>
              <w:right w:val="single" w:color="000000" w:sz="8" w:space="0"/>
            </w:tcBorders>
            <w:tcMar>
              <w:left w:w="108" w:type="dxa"/>
              <w:right w:w="108" w:type="dxa"/>
            </w:tcMar>
            <w:vAlign w:val="center"/>
          </w:tcPr>
          <w:p>
            <w:pPr>
              <w:autoSpaceDE w:val="0"/>
              <w:autoSpaceDN w:val="0"/>
              <w:snapToGrid w:val="0"/>
              <w:spacing w:line="312" w:lineRule="auto"/>
              <w:rPr>
                <w:rFonts w:hAnsi="Times New Roman" w:cs="Times New Roman"/>
                <w:color w:val="auto"/>
              </w:rPr>
            </w:pPr>
            <w:r>
              <w:rPr>
                <w:rFonts w:hint="eastAsia" w:hAnsi="Times New Roman" w:cs="宋体"/>
                <w:color w:val="auto"/>
                <w:kern w:val="0"/>
              </w:rPr>
              <w:t>项目负责人任职资格与业绩</w:t>
            </w:r>
          </w:p>
        </w:tc>
        <w:tc>
          <w:tcPr>
            <w:tcW w:w="870"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autoSpaceDE w:val="0"/>
              <w:autoSpaceDN w:val="0"/>
              <w:snapToGrid w:val="0"/>
              <w:spacing w:line="312" w:lineRule="auto"/>
              <w:jc w:val="center"/>
              <w:rPr>
                <w:rFonts w:hAnsi="Times New Roman" w:cs="Times New Roman"/>
                <w:color w:val="auto"/>
              </w:rPr>
            </w:pPr>
            <w:r>
              <w:rPr>
                <w:rFonts w:hAnsi="Times New Roman"/>
                <w:color w:val="auto"/>
                <w:kern w:val="0"/>
                <w:u w:val="single"/>
              </w:rPr>
              <w:t xml:space="preserve"> 20 </w:t>
            </w:r>
            <w:r>
              <w:rPr>
                <w:rFonts w:hint="eastAsia" w:hAnsi="Times New Roman" w:cs="宋体"/>
                <w:color w:val="auto"/>
                <w:kern w:val="0"/>
              </w:rPr>
              <w:t>分</w:t>
            </w:r>
          </w:p>
        </w:tc>
        <w:tc>
          <w:tcPr>
            <w:tcW w:w="3101" w:type="dxa"/>
            <w:tcBorders>
              <w:top w:val="single" w:color="000000" w:sz="8" w:space="0"/>
              <w:left w:val="single" w:color="000000" w:sz="8" w:space="0"/>
              <w:bottom w:val="single" w:color="000000" w:sz="8" w:space="0"/>
            </w:tcBorders>
            <w:tcMar>
              <w:left w:w="108" w:type="dxa"/>
              <w:right w:w="108" w:type="dxa"/>
            </w:tcMar>
            <w:vAlign w:val="center"/>
          </w:tcPr>
          <w:p>
            <w:pPr>
              <w:pStyle w:val="50"/>
              <w:spacing w:line="280" w:lineRule="exact"/>
              <w:rPr>
                <w:rFonts w:cs="Times New Roman"/>
                <w:color w:val="auto"/>
                <w:sz w:val="21"/>
                <w:szCs w:val="21"/>
              </w:rPr>
            </w:pPr>
            <w:r>
              <w:rPr>
                <w:rFonts w:hint="eastAsia" w:cs="宋体"/>
                <w:color w:val="auto"/>
                <w:sz w:val="21"/>
                <w:szCs w:val="21"/>
              </w:rPr>
              <w:t>（</w:t>
            </w:r>
            <w:r>
              <w:rPr>
                <w:color w:val="auto"/>
                <w:sz w:val="21"/>
                <w:szCs w:val="21"/>
              </w:rPr>
              <w:t>1</w:t>
            </w:r>
            <w:r>
              <w:rPr>
                <w:rFonts w:hint="eastAsia" w:cs="宋体"/>
                <w:color w:val="auto"/>
                <w:sz w:val="21"/>
                <w:szCs w:val="21"/>
              </w:rPr>
              <w:t>）项目负责人满足资格评审强制性履约标准的，得</w:t>
            </w:r>
            <w:r>
              <w:rPr>
                <w:color w:val="auto"/>
                <w:sz w:val="21"/>
                <w:szCs w:val="21"/>
              </w:rPr>
              <w:t>12</w:t>
            </w:r>
            <w:r>
              <w:rPr>
                <w:rFonts w:hint="eastAsia" w:cs="宋体"/>
                <w:color w:val="auto"/>
                <w:sz w:val="21"/>
                <w:szCs w:val="21"/>
              </w:rPr>
              <w:t>分。</w:t>
            </w:r>
          </w:p>
          <w:p>
            <w:pPr>
              <w:spacing w:line="280" w:lineRule="exact"/>
              <w:rPr>
                <w:rFonts w:hAnsi="Times New Roman" w:cs="宋体"/>
                <w:color w:val="auto"/>
                <w:kern w:val="0"/>
              </w:rPr>
            </w:pPr>
            <w:r>
              <w:rPr>
                <w:rFonts w:hint="eastAsia" w:cs="宋体"/>
                <w:color w:val="auto"/>
              </w:rPr>
              <w:t>（</w:t>
            </w:r>
            <w:r>
              <w:rPr>
                <w:color w:val="auto"/>
              </w:rPr>
              <w:t>2</w:t>
            </w:r>
            <w:r>
              <w:rPr>
                <w:rFonts w:hint="eastAsia" w:cs="宋体"/>
                <w:color w:val="auto"/>
              </w:rPr>
              <w:t>）项目负责人</w:t>
            </w:r>
            <w:r>
              <w:rPr>
                <w:rFonts w:hint="eastAsia" w:hAnsi="Times New Roman" w:cs="宋体"/>
                <w:color w:val="auto"/>
                <w:kern w:val="0"/>
              </w:rPr>
              <w:t>近五年内（</w:t>
            </w:r>
            <w:r>
              <w:rPr>
                <w:rFonts w:hint="eastAsia" w:hAnsi="Times New Roman"/>
                <w:color w:val="auto"/>
                <w:kern w:val="0"/>
              </w:rPr>
              <w:t>2017</w:t>
            </w:r>
            <w:r>
              <w:rPr>
                <w:rFonts w:hint="eastAsia" w:hAnsi="Times New Roman" w:cs="宋体"/>
                <w:color w:val="auto"/>
                <w:kern w:val="0"/>
              </w:rPr>
              <w:t>年</w:t>
            </w:r>
            <w:r>
              <w:rPr>
                <w:rFonts w:hAnsi="Times New Roman"/>
                <w:color w:val="auto"/>
                <w:kern w:val="0"/>
              </w:rPr>
              <w:t>1</w:t>
            </w:r>
            <w:r>
              <w:rPr>
                <w:rFonts w:hint="eastAsia" w:hAnsi="Times New Roman" w:cs="宋体"/>
                <w:color w:val="auto"/>
                <w:kern w:val="0"/>
              </w:rPr>
              <w:t>月</w:t>
            </w:r>
            <w:r>
              <w:rPr>
                <w:rFonts w:hAnsi="Times New Roman"/>
                <w:color w:val="auto"/>
                <w:kern w:val="0"/>
              </w:rPr>
              <w:t>1</w:t>
            </w:r>
            <w:r>
              <w:rPr>
                <w:rFonts w:hint="eastAsia" w:hAnsi="Times New Roman" w:cs="宋体"/>
                <w:color w:val="auto"/>
                <w:kern w:val="0"/>
              </w:rPr>
              <w:t>日至投标截止之日</w:t>
            </w:r>
            <w:r>
              <w:rPr>
                <w:rFonts w:hAnsi="Times New Roman"/>
                <w:color w:val="auto"/>
                <w:kern w:val="0"/>
              </w:rPr>
              <w:t>,</w:t>
            </w:r>
            <w:r>
              <w:rPr>
                <w:rFonts w:hint="eastAsia" w:hAnsi="Times New Roman" w:cs="宋体"/>
                <w:color w:val="auto"/>
                <w:kern w:val="0"/>
              </w:rPr>
              <w:t>勘察业绩以签订合同协议书时间为准）每增加完成一项一级或以上公路勘察业绩加4分，最多加8分。</w:t>
            </w:r>
          </w:p>
          <w:p>
            <w:pPr>
              <w:spacing w:line="280" w:lineRule="exact"/>
              <w:rPr>
                <w:rFonts w:cs="Times New Roman"/>
                <w:color w:val="auto"/>
              </w:rPr>
            </w:pPr>
            <w:r>
              <w:rPr>
                <w:rFonts w:hint="eastAsia" w:cs="宋体"/>
                <w:color w:val="auto"/>
              </w:rPr>
              <w:t>应附交通运输部“全国公路建设市场信用信息管理系统”中载明的、能够证明项目负责人具有相关业绩的网页截图复印件。在交通运输部“全国公路建设市场信用信息管理系统”中无法查询，但可在省级交通运输主管部门“公路建设市场信用信息管理系统”中查询的，应附省级交通运输主管部门“公路建设市场信用信息管理系统”中查询到的网页截图复印件并注明查询路径。</w:t>
            </w:r>
          </w:p>
          <w:p>
            <w:pPr>
              <w:spacing w:line="280" w:lineRule="exact"/>
              <w:ind w:firstLine="315" w:firstLineChars="150"/>
              <w:rPr>
                <w:rFonts w:cs="Times New Roman"/>
                <w:color w:val="auto"/>
              </w:rPr>
            </w:pPr>
            <w:r>
              <w:rPr>
                <w:rFonts w:hint="eastAsia" w:cs="宋体"/>
                <w:color w:val="auto"/>
              </w:rPr>
              <w:t>勘察业绩无法在交通运输部“全国公路建设市场信用信息管理系统”或省级交通运输主管部门“公路建设市场信用信息管理系统”中查询的，应附中标通知书或合同协议书（合同协议书关键页、盖章页部分）复印件并加盖公章（如果投标人提供的上述证明材料无法体现出“投标人须知前附表”附录</w:t>
            </w:r>
            <w:r>
              <w:rPr>
                <w:color w:val="auto"/>
              </w:rPr>
              <w:t>2</w:t>
            </w:r>
            <w:r>
              <w:rPr>
                <w:rFonts w:hint="eastAsia" w:cs="宋体"/>
                <w:color w:val="auto"/>
              </w:rPr>
              <w:t>要求的内容，则投标人还需提供由业主开具的证明材料（业主开具的证明材料须为带有业主公章的原件或扫描打印件，并加盖投标人公章））。</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779" w:hRule="atLeast"/>
          <w:jc w:val="center"/>
        </w:trPr>
        <w:tc>
          <w:tcPr>
            <w:tcW w:w="1196" w:type="dxa"/>
            <w:tcBorders>
              <w:top w:val="single" w:color="000000" w:sz="8" w:space="0"/>
              <w:bottom w:val="single" w:color="000000" w:sz="8" w:space="0"/>
              <w:right w:val="single" w:color="000000" w:sz="8" w:space="0"/>
            </w:tcBorders>
            <w:tcMar>
              <w:left w:w="108" w:type="dxa"/>
              <w:right w:w="108" w:type="dxa"/>
            </w:tcMar>
            <w:vAlign w:val="center"/>
          </w:tcPr>
          <w:p>
            <w:pPr>
              <w:autoSpaceDE w:val="0"/>
              <w:autoSpaceDN w:val="0"/>
              <w:snapToGrid w:val="0"/>
              <w:spacing w:line="400" w:lineRule="atLeast"/>
              <w:jc w:val="center"/>
              <w:rPr>
                <w:rFonts w:hAnsi="Times New Roman" w:cs="Times New Roman"/>
                <w:color w:val="auto"/>
              </w:rPr>
            </w:pPr>
            <w:r>
              <w:rPr>
                <w:rFonts w:hAnsi="Times New Roman"/>
                <w:color w:val="auto"/>
                <w:kern w:val="0"/>
              </w:rPr>
              <w:t>2.2.4</w:t>
            </w:r>
            <w:r>
              <w:rPr>
                <w:rFonts w:hint="eastAsia" w:hAnsi="Times New Roman" w:cs="宋体"/>
                <w:color w:val="auto"/>
                <w:kern w:val="0"/>
              </w:rPr>
              <w:t>（</w:t>
            </w:r>
            <w:r>
              <w:rPr>
                <w:rFonts w:hAnsi="Times New Roman"/>
                <w:color w:val="auto"/>
                <w:kern w:val="0"/>
              </w:rPr>
              <w:t>3</w:t>
            </w:r>
            <w:r>
              <w:rPr>
                <w:rFonts w:hint="eastAsia" w:hAnsi="Times New Roman" w:cs="宋体"/>
                <w:color w:val="auto"/>
                <w:kern w:val="0"/>
              </w:rPr>
              <w:t>）</w:t>
            </w:r>
          </w:p>
        </w:tc>
        <w:tc>
          <w:tcPr>
            <w:tcW w:w="1134" w:type="dxa"/>
            <w:gridSpan w:val="2"/>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autoSpaceDE w:val="0"/>
              <w:autoSpaceDN w:val="0"/>
              <w:snapToGrid w:val="0"/>
              <w:spacing w:line="400" w:lineRule="atLeast"/>
              <w:jc w:val="center"/>
              <w:rPr>
                <w:rFonts w:hAnsi="Times New Roman" w:cs="Times New Roman"/>
                <w:color w:val="auto"/>
              </w:rPr>
            </w:pPr>
            <w:r>
              <w:rPr>
                <w:rFonts w:hint="eastAsia" w:hAnsi="Times New Roman" w:cs="宋体"/>
                <w:color w:val="auto"/>
                <w:kern w:val="0"/>
              </w:rPr>
              <w:t>评标价</w:t>
            </w:r>
          </w:p>
        </w:tc>
        <w:tc>
          <w:tcPr>
            <w:tcW w:w="1134"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autoSpaceDE w:val="0"/>
              <w:autoSpaceDN w:val="0"/>
              <w:snapToGrid w:val="0"/>
              <w:spacing w:line="400" w:lineRule="atLeast"/>
              <w:jc w:val="center"/>
              <w:rPr>
                <w:rFonts w:hAnsi="Times New Roman" w:cs="Times New Roman"/>
                <w:color w:val="auto"/>
              </w:rPr>
            </w:pPr>
            <w:r>
              <w:rPr>
                <w:rFonts w:hAnsi="Times New Roman"/>
                <w:color w:val="auto"/>
                <w:kern w:val="0"/>
                <w:u w:val="single"/>
              </w:rPr>
              <w:t xml:space="preserve">  10 </w:t>
            </w:r>
            <w:r>
              <w:rPr>
                <w:rFonts w:hint="eastAsia" w:hAnsi="Times New Roman" w:cs="宋体"/>
                <w:color w:val="auto"/>
                <w:kern w:val="0"/>
              </w:rPr>
              <w:t>分</w:t>
            </w:r>
          </w:p>
        </w:tc>
        <w:tc>
          <w:tcPr>
            <w:tcW w:w="6077" w:type="dxa"/>
            <w:gridSpan w:val="3"/>
            <w:tcBorders>
              <w:top w:val="single" w:color="000000" w:sz="8" w:space="0"/>
              <w:left w:val="single" w:color="000000" w:sz="8" w:space="0"/>
              <w:bottom w:val="single" w:color="000000" w:sz="8" w:space="0"/>
            </w:tcBorders>
            <w:tcMar>
              <w:left w:w="108" w:type="dxa"/>
              <w:right w:w="108" w:type="dxa"/>
            </w:tcMar>
            <w:vAlign w:val="center"/>
          </w:tcPr>
          <w:p>
            <w:pPr>
              <w:snapToGrid w:val="0"/>
              <w:spacing w:line="312" w:lineRule="auto"/>
              <w:rPr>
                <w:rFonts w:hAnsi="Times New Roman" w:cs="Times New Roman"/>
                <w:color w:val="auto"/>
              </w:rPr>
            </w:pPr>
            <w:r>
              <w:rPr>
                <w:rFonts w:hint="eastAsia" w:ascii="Times New Roman" w:hAnsi="Times New Roman" w:cs="宋体"/>
                <w:color w:val="auto"/>
                <w:kern w:val="0"/>
              </w:rPr>
              <w:t>评标价得分计算公式示例：</w:t>
            </w:r>
          </w:p>
          <w:p>
            <w:pPr>
              <w:snapToGrid w:val="0"/>
              <w:spacing w:line="312" w:lineRule="auto"/>
              <w:rPr>
                <w:rFonts w:hAnsi="Times New Roman" w:cs="Times New Roman"/>
                <w:color w:val="auto"/>
              </w:rPr>
            </w:pPr>
            <w:r>
              <w:rPr>
                <w:rFonts w:hint="eastAsia" w:ascii="Times New Roman" w:hAnsi="Times New Roman" w:cs="宋体"/>
                <w:color w:val="auto"/>
                <w:kern w:val="0"/>
              </w:rPr>
              <w:t>（</w:t>
            </w:r>
            <w:r>
              <w:rPr>
                <w:rFonts w:ascii="Times New Roman" w:hAnsi="Times New Roman" w:cs="Times New Roman"/>
                <w:color w:val="auto"/>
                <w:kern w:val="0"/>
              </w:rPr>
              <w:t>1</w:t>
            </w:r>
            <w:r>
              <w:rPr>
                <w:rFonts w:hint="eastAsia" w:ascii="Times New Roman" w:hAnsi="Times New Roman" w:cs="宋体"/>
                <w:color w:val="auto"/>
                <w:kern w:val="0"/>
              </w:rPr>
              <w:t>）如果投标人的评标价</w:t>
            </w:r>
            <w:r>
              <w:rPr>
                <w:rFonts w:ascii="Times New Roman" w:hAnsi="Times New Roman" w:cs="Times New Roman"/>
                <w:color w:val="auto"/>
                <w:kern w:val="0"/>
              </w:rPr>
              <w:t>&gt;</w:t>
            </w:r>
            <w:r>
              <w:rPr>
                <w:rFonts w:hint="eastAsia" w:ascii="Times New Roman" w:hAnsi="Times New Roman" w:cs="宋体"/>
                <w:color w:val="auto"/>
                <w:kern w:val="0"/>
              </w:rPr>
              <w:t>评标基准价，则评标价得分</w:t>
            </w:r>
            <w:r>
              <w:rPr>
                <w:rFonts w:ascii="Times New Roman" w:hAnsi="Times New Roman" w:cs="Times New Roman"/>
                <w:color w:val="auto"/>
                <w:kern w:val="0"/>
              </w:rPr>
              <w:t>=10-</w:t>
            </w:r>
            <w:r>
              <w:rPr>
                <w:rFonts w:hint="eastAsia" w:ascii="Times New Roman" w:hAnsi="Times New Roman" w:cs="宋体"/>
                <w:color w:val="auto"/>
                <w:kern w:val="0"/>
              </w:rPr>
              <w:t>偏差率</w:t>
            </w:r>
            <w:r>
              <w:rPr>
                <w:rFonts w:ascii="Times New Roman" w:hAnsi="Times New Roman" w:cs="Times New Roman"/>
                <w:color w:val="auto"/>
                <w:kern w:val="0"/>
              </w:rPr>
              <w:t>×100×0.2</w:t>
            </w:r>
            <w:r>
              <w:rPr>
                <w:rFonts w:hint="eastAsia" w:ascii="Times New Roman" w:hAnsi="Times New Roman" w:cs="宋体"/>
                <w:color w:val="auto"/>
                <w:kern w:val="0"/>
              </w:rPr>
              <w:t>；</w:t>
            </w:r>
          </w:p>
          <w:p>
            <w:pPr>
              <w:snapToGrid w:val="0"/>
              <w:spacing w:line="312" w:lineRule="auto"/>
              <w:rPr>
                <w:rFonts w:hAnsi="Times New Roman" w:cs="Times New Roman"/>
                <w:color w:val="auto"/>
              </w:rPr>
            </w:pPr>
            <w:r>
              <w:rPr>
                <w:rFonts w:hint="eastAsia" w:ascii="Times New Roman" w:hAnsi="Times New Roman" w:cs="宋体"/>
                <w:color w:val="auto"/>
                <w:kern w:val="0"/>
              </w:rPr>
              <w:t>（</w:t>
            </w:r>
            <w:r>
              <w:rPr>
                <w:rFonts w:ascii="Times New Roman" w:hAnsi="Times New Roman" w:cs="Times New Roman"/>
                <w:color w:val="auto"/>
                <w:kern w:val="0"/>
              </w:rPr>
              <w:t>2</w:t>
            </w:r>
            <w:r>
              <w:rPr>
                <w:rFonts w:hint="eastAsia" w:ascii="Times New Roman" w:hAnsi="Times New Roman" w:cs="宋体"/>
                <w:color w:val="auto"/>
                <w:kern w:val="0"/>
              </w:rPr>
              <w:t>）如果投标人的评标价</w:t>
            </w:r>
            <w:r>
              <w:rPr>
                <w:rFonts w:ascii="Times New Roman" w:hAnsi="Times New Roman" w:cs="Times New Roman"/>
                <w:color w:val="auto"/>
                <w:kern w:val="0"/>
              </w:rPr>
              <w:t>≤</w:t>
            </w:r>
            <w:r>
              <w:rPr>
                <w:rFonts w:hint="eastAsia" w:ascii="Times New Roman" w:hAnsi="Times New Roman" w:cs="宋体"/>
                <w:color w:val="auto"/>
                <w:kern w:val="0"/>
              </w:rPr>
              <w:t>评标基准价，则评标价得分</w:t>
            </w:r>
            <w:r>
              <w:rPr>
                <w:rFonts w:ascii="Times New Roman" w:hAnsi="Times New Roman" w:cs="Times New Roman"/>
                <w:color w:val="auto"/>
                <w:kern w:val="0"/>
              </w:rPr>
              <w:t>=10+</w:t>
            </w:r>
            <w:r>
              <w:rPr>
                <w:rFonts w:hint="eastAsia" w:ascii="Times New Roman" w:hAnsi="Times New Roman" w:cs="宋体"/>
                <w:color w:val="auto"/>
                <w:kern w:val="0"/>
              </w:rPr>
              <w:t>偏差率</w:t>
            </w:r>
            <w:r>
              <w:rPr>
                <w:rFonts w:ascii="Times New Roman" w:hAnsi="Times New Roman" w:cs="Times New Roman"/>
                <w:color w:val="auto"/>
                <w:kern w:val="0"/>
              </w:rPr>
              <w:t>×100×0.1</w:t>
            </w:r>
            <w:r>
              <w:rPr>
                <w:rFonts w:hint="eastAsia" w:ascii="Times New Roman" w:hAnsi="Times New Roman" w:cs="宋体"/>
                <w:color w:val="auto"/>
                <w:kern w:val="0"/>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35" w:hRule="atLeast"/>
          <w:jc w:val="center"/>
        </w:trPr>
        <w:tc>
          <w:tcPr>
            <w:tcW w:w="1196" w:type="dxa"/>
            <w:tcBorders>
              <w:top w:val="single" w:color="000000" w:sz="8" w:space="0"/>
              <w:bottom w:val="single" w:color="auto" w:sz="4" w:space="0"/>
              <w:right w:val="single" w:color="000000" w:sz="8" w:space="0"/>
            </w:tcBorders>
            <w:tcMar>
              <w:left w:w="108" w:type="dxa"/>
              <w:right w:w="108" w:type="dxa"/>
            </w:tcMar>
            <w:vAlign w:val="center"/>
          </w:tcPr>
          <w:p>
            <w:pPr>
              <w:autoSpaceDE w:val="0"/>
              <w:autoSpaceDN w:val="0"/>
              <w:snapToGrid w:val="0"/>
              <w:spacing w:line="400" w:lineRule="atLeast"/>
              <w:jc w:val="center"/>
              <w:rPr>
                <w:rFonts w:cs="Times New Roman"/>
                <w:color w:val="auto"/>
              </w:rPr>
            </w:pPr>
            <w:r>
              <w:rPr>
                <w:color w:val="auto"/>
              </w:rPr>
              <w:t>2.2.4</w:t>
            </w:r>
            <w:r>
              <w:rPr>
                <w:rFonts w:hint="eastAsia" w:cs="宋体"/>
                <w:color w:val="auto"/>
              </w:rPr>
              <w:t>（</w:t>
            </w:r>
            <w:r>
              <w:rPr>
                <w:color w:val="auto"/>
              </w:rPr>
              <w:t>4</w:t>
            </w:r>
            <w:r>
              <w:rPr>
                <w:rFonts w:hint="eastAsia" w:cs="宋体"/>
                <w:color w:val="auto"/>
              </w:rPr>
              <w:t>）</w:t>
            </w:r>
          </w:p>
        </w:tc>
        <w:tc>
          <w:tcPr>
            <w:tcW w:w="567" w:type="dxa"/>
            <w:tcBorders>
              <w:top w:val="single" w:color="000000" w:sz="8" w:space="0"/>
              <w:left w:val="single" w:color="000000" w:sz="8" w:space="0"/>
              <w:bottom w:val="single" w:color="auto" w:sz="4" w:space="0"/>
              <w:right w:val="single" w:color="000000" w:sz="8" w:space="0"/>
            </w:tcBorders>
            <w:tcMar>
              <w:left w:w="108" w:type="dxa"/>
              <w:right w:w="108" w:type="dxa"/>
            </w:tcMar>
            <w:vAlign w:val="center"/>
          </w:tcPr>
          <w:p>
            <w:pPr>
              <w:autoSpaceDE w:val="0"/>
              <w:autoSpaceDN w:val="0"/>
              <w:snapToGrid w:val="0"/>
              <w:spacing w:line="400" w:lineRule="atLeast"/>
              <w:jc w:val="center"/>
              <w:rPr>
                <w:rFonts w:cs="Times New Roman"/>
                <w:color w:val="auto"/>
              </w:rPr>
            </w:pPr>
            <w:r>
              <w:rPr>
                <w:rFonts w:hint="eastAsia" w:cs="宋体"/>
                <w:color w:val="auto"/>
              </w:rPr>
              <w:t>其他因素</w:t>
            </w:r>
          </w:p>
        </w:tc>
        <w:tc>
          <w:tcPr>
            <w:tcW w:w="567" w:type="dxa"/>
            <w:tcBorders>
              <w:top w:val="single" w:color="000000" w:sz="8" w:space="0"/>
              <w:left w:val="single" w:color="000000" w:sz="8" w:space="0"/>
              <w:bottom w:val="single" w:color="auto" w:sz="4" w:space="0"/>
              <w:right w:val="single" w:color="000000" w:sz="8" w:space="0"/>
            </w:tcBorders>
            <w:tcMar>
              <w:left w:w="108" w:type="dxa"/>
              <w:right w:w="108" w:type="dxa"/>
            </w:tcMar>
            <w:vAlign w:val="center"/>
          </w:tcPr>
          <w:p>
            <w:pPr>
              <w:autoSpaceDE w:val="0"/>
              <w:autoSpaceDN w:val="0"/>
              <w:snapToGrid w:val="0"/>
              <w:spacing w:line="400" w:lineRule="atLeast"/>
              <w:jc w:val="center"/>
              <w:rPr>
                <w:rFonts w:hAnsi="Times New Roman" w:cs="Times New Roman"/>
                <w:color w:val="auto"/>
              </w:rPr>
            </w:pPr>
            <w:r>
              <w:rPr>
                <w:rFonts w:hint="eastAsia" w:hAnsi="Times New Roman" w:cs="宋体"/>
                <w:color w:val="auto"/>
                <w:kern w:val="0"/>
              </w:rPr>
              <w:t>业绩</w:t>
            </w:r>
          </w:p>
        </w:tc>
        <w:tc>
          <w:tcPr>
            <w:tcW w:w="1134" w:type="dxa"/>
            <w:tcBorders>
              <w:top w:val="single" w:color="000000" w:sz="8" w:space="0"/>
              <w:left w:val="single" w:color="000000" w:sz="8" w:space="0"/>
              <w:bottom w:val="single" w:color="auto" w:sz="4" w:space="0"/>
              <w:right w:val="single" w:color="000000" w:sz="8" w:space="0"/>
            </w:tcBorders>
            <w:tcMar>
              <w:left w:w="108" w:type="dxa"/>
              <w:right w:w="108" w:type="dxa"/>
            </w:tcMar>
            <w:vAlign w:val="center"/>
          </w:tcPr>
          <w:p>
            <w:pPr>
              <w:autoSpaceDE w:val="0"/>
              <w:autoSpaceDN w:val="0"/>
              <w:snapToGrid w:val="0"/>
              <w:spacing w:line="400" w:lineRule="atLeast"/>
              <w:jc w:val="center"/>
              <w:rPr>
                <w:rFonts w:hAnsi="Times New Roman" w:cs="Times New Roman"/>
                <w:color w:val="auto"/>
              </w:rPr>
            </w:pPr>
            <w:r>
              <w:rPr>
                <w:rFonts w:hAnsi="Times New Roman"/>
                <w:color w:val="auto"/>
                <w:kern w:val="0"/>
                <w:u w:val="single"/>
              </w:rPr>
              <w:t xml:space="preserve"> 20 </w:t>
            </w:r>
            <w:r>
              <w:rPr>
                <w:rFonts w:hint="eastAsia" w:hAnsi="Times New Roman" w:cs="宋体"/>
                <w:color w:val="auto"/>
                <w:kern w:val="0"/>
              </w:rPr>
              <w:t>分</w:t>
            </w:r>
          </w:p>
        </w:tc>
        <w:tc>
          <w:tcPr>
            <w:tcW w:w="2106" w:type="dxa"/>
            <w:tcBorders>
              <w:top w:val="single" w:color="000000" w:sz="8" w:space="0"/>
              <w:left w:val="single" w:color="000000" w:sz="8" w:space="0"/>
              <w:bottom w:val="single" w:color="auto" w:sz="4" w:space="0"/>
              <w:right w:val="single" w:color="000000" w:sz="8" w:space="0"/>
            </w:tcBorders>
            <w:tcMar>
              <w:left w:w="108" w:type="dxa"/>
              <w:right w:w="108" w:type="dxa"/>
            </w:tcMar>
            <w:vAlign w:val="center"/>
          </w:tcPr>
          <w:p>
            <w:pPr>
              <w:autoSpaceDE w:val="0"/>
              <w:autoSpaceDN w:val="0"/>
              <w:snapToGrid w:val="0"/>
              <w:spacing w:line="312" w:lineRule="auto"/>
              <w:jc w:val="center"/>
              <w:rPr>
                <w:rFonts w:hAnsi="Times New Roman" w:cs="Times New Roman"/>
                <w:color w:val="auto"/>
                <w:kern w:val="0"/>
              </w:rPr>
            </w:pPr>
            <w:r>
              <w:rPr>
                <w:rFonts w:hint="eastAsia" w:hAnsi="Times New Roman" w:cs="宋体"/>
                <w:color w:val="auto"/>
                <w:kern w:val="0"/>
              </w:rPr>
              <w:t>类似项目业绩</w:t>
            </w:r>
          </w:p>
        </w:tc>
        <w:tc>
          <w:tcPr>
            <w:tcW w:w="870" w:type="dxa"/>
            <w:tcBorders>
              <w:top w:val="single" w:color="000000" w:sz="8" w:space="0"/>
              <w:left w:val="single" w:color="000000" w:sz="8" w:space="0"/>
              <w:bottom w:val="single" w:color="auto" w:sz="4" w:space="0"/>
              <w:right w:val="single" w:color="000000" w:sz="8" w:space="0"/>
            </w:tcBorders>
            <w:tcMar>
              <w:left w:w="108" w:type="dxa"/>
              <w:right w:w="108" w:type="dxa"/>
            </w:tcMar>
            <w:vAlign w:val="center"/>
          </w:tcPr>
          <w:p>
            <w:pPr>
              <w:autoSpaceDE w:val="0"/>
              <w:autoSpaceDN w:val="0"/>
              <w:snapToGrid w:val="0"/>
              <w:spacing w:line="312" w:lineRule="auto"/>
              <w:jc w:val="center"/>
              <w:rPr>
                <w:rFonts w:hAnsi="Times New Roman" w:cs="Times New Roman"/>
                <w:color w:val="auto"/>
              </w:rPr>
            </w:pPr>
            <w:r>
              <w:rPr>
                <w:rFonts w:hAnsi="Times New Roman"/>
                <w:color w:val="auto"/>
                <w:kern w:val="0"/>
                <w:u w:val="single"/>
              </w:rPr>
              <w:t xml:space="preserve"> 20 </w:t>
            </w:r>
            <w:r>
              <w:rPr>
                <w:rFonts w:hint="eastAsia" w:hAnsi="Times New Roman" w:cs="宋体"/>
                <w:color w:val="auto"/>
                <w:kern w:val="0"/>
              </w:rPr>
              <w:t>分</w:t>
            </w:r>
          </w:p>
        </w:tc>
        <w:tc>
          <w:tcPr>
            <w:tcW w:w="3101" w:type="dxa"/>
            <w:tcBorders>
              <w:top w:val="single" w:color="000000" w:sz="8" w:space="0"/>
              <w:left w:val="single" w:color="000000" w:sz="8" w:space="0"/>
              <w:bottom w:val="single" w:color="auto" w:sz="4" w:space="0"/>
            </w:tcBorders>
            <w:tcMar>
              <w:left w:w="108" w:type="dxa"/>
              <w:right w:w="108" w:type="dxa"/>
            </w:tcMar>
            <w:vAlign w:val="center"/>
          </w:tcPr>
          <w:p>
            <w:pPr>
              <w:snapToGrid w:val="0"/>
              <w:rPr>
                <w:rFonts w:hAnsi="Times New Roman" w:cs="Times New Roman"/>
                <w:color w:val="auto"/>
                <w:kern w:val="0"/>
              </w:rPr>
            </w:pPr>
            <w:r>
              <w:rPr>
                <w:rFonts w:hint="eastAsia" w:hAnsi="Times New Roman" w:cs="宋体"/>
                <w:color w:val="auto"/>
                <w:kern w:val="0"/>
              </w:rPr>
              <w:t>（</w:t>
            </w:r>
            <w:r>
              <w:rPr>
                <w:rFonts w:hAnsi="Times New Roman"/>
                <w:color w:val="auto"/>
                <w:kern w:val="0"/>
              </w:rPr>
              <w:t>1</w:t>
            </w:r>
            <w:r>
              <w:rPr>
                <w:rFonts w:hint="eastAsia" w:hAnsi="Times New Roman" w:cs="宋体"/>
                <w:color w:val="auto"/>
                <w:kern w:val="0"/>
              </w:rPr>
              <w:t>）投标人业绩满足资格评审强制性履约标准的，得</w:t>
            </w:r>
            <w:r>
              <w:rPr>
                <w:rFonts w:hAnsi="Times New Roman"/>
                <w:color w:val="auto"/>
                <w:kern w:val="0"/>
              </w:rPr>
              <w:t>12</w:t>
            </w:r>
            <w:r>
              <w:rPr>
                <w:rFonts w:hint="eastAsia" w:hAnsi="Times New Roman" w:cs="宋体"/>
                <w:color w:val="auto"/>
                <w:kern w:val="0"/>
              </w:rPr>
              <w:t>分。</w:t>
            </w:r>
          </w:p>
          <w:p>
            <w:pPr>
              <w:snapToGrid w:val="0"/>
              <w:rPr>
                <w:rFonts w:hAnsi="Times New Roman" w:cs="宋体"/>
                <w:color w:val="auto"/>
                <w:kern w:val="0"/>
              </w:rPr>
            </w:pPr>
            <w:r>
              <w:rPr>
                <w:rFonts w:hint="eastAsia" w:hAnsi="Times New Roman" w:cs="宋体"/>
                <w:color w:val="auto"/>
                <w:kern w:val="0"/>
              </w:rPr>
              <w:t>（</w:t>
            </w:r>
            <w:r>
              <w:rPr>
                <w:rFonts w:hAnsi="Times New Roman"/>
                <w:color w:val="auto"/>
                <w:kern w:val="0"/>
              </w:rPr>
              <w:t>2</w:t>
            </w:r>
            <w:r>
              <w:rPr>
                <w:rFonts w:hint="eastAsia" w:hAnsi="Times New Roman" w:cs="宋体"/>
                <w:color w:val="auto"/>
                <w:kern w:val="0"/>
              </w:rPr>
              <w:t>）投标人近五年内（</w:t>
            </w:r>
            <w:r>
              <w:rPr>
                <w:rFonts w:hint="eastAsia" w:hAnsi="Times New Roman"/>
                <w:color w:val="auto"/>
                <w:kern w:val="0"/>
              </w:rPr>
              <w:t>2017</w:t>
            </w:r>
            <w:r>
              <w:rPr>
                <w:rFonts w:hint="eastAsia" w:hAnsi="Times New Roman" w:cs="宋体"/>
                <w:color w:val="auto"/>
                <w:kern w:val="0"/>
              </w:rPr>
              <w:t>年</w:t>
            </w:r>
            <w:r>
              <w:rPr>
                <w:rFonts w:hAnsi="Times New Roman"/>
                <w:color w:val="auto"/>
                <w:kern w:val="0"/>
              </w:rPr>
              <w:t>1</w:t>
            </w:r>
            <w:r>
              <w:rPr>
                <w:rFonts w:hint="eastAsia" w:hAnsi="Times New Roman" w:cs="宋体"/>
                <w:color w:val="auto"/>
                <w:kern w:val="0"/>
              </w:rPr>
              <w:t>月</w:t>
            </w:r>
            <w:r>
              <w:rPr>
                <w:rFonts w:hAnsi="Times New Roman"/>
                <w:color w:val="auto"/>
                <w:kern w:val="0"/>
              </w:rPr>
              <w:t>1</w:t>
            </w:r>
            <w:r>
              <w:rPr>
                <w:rFonts w:hint="eastAsia" w:hAnsi="Times New Roman" w:cs="宋体"/>
                <w:color w:val="auto"/>
                <w:kern w:val="0"/>
              </w:rPr>
              <w:t>日至投标截止之日, 勘察业绩以签订合同协议书时间为准）每增加完成一项一级或以上公路勘察业绩加4分，最多加8分。</w:t>
            </w:r>
          </w:p>
          <w:p>
            <w:pPr>
              <w:snapToGrid w:val="0"/>
              <w:rPr>
                <w:rFonts w:hAnsi="Times New Roman" w:cs="Times New Roman"/>
                <w:color w:val="auto"/>
                <w:kern w:val="0"/>
              </w:rPr>
            </w:pPr>
            <w:r>
              <w:rPr>
                <w:rFonts w:hint="eastAsia" w:hAnsi="Times New Roman" w:cs="宋体"/>
                <w:color w:val="auto"/>
                <w:kern w:val="0"/>
              </w:rPr>
              <w:t>应附在交通运输部“全国公路建设市场信用信息管理系统”（网址：</w:t>
            </w:r>
            <w:r>
              <w:rPr>
                <w:rFonts w:hAnsi="Times New Roman"/>
                <w:color w:val="auto"/>
                <w:kern w:val="0"/>
              </w:rPr>
              <w:t>http://glxy.mot.gov.cn/BM/</w:t>
            </w:r>
            <w:r>
              <w:rPr>
                <w:rFonts w:hint="eastAsia" w:hAnsi="Times New Roman" w:cs="宋体"/>
                <w:color w:val="auto"/>
                <w:kern w:val="0"/>
              </w:rPr>
              <w:t>）中查询到的企业“业绩信息”相关项目网页截图复印件，即包括“工程名称”“项目类型”“合同价”“技术等级”“主要设计内容”“人员履约信息”等栏目在内的项目详细信息网页截图复印件。在交通运输部“全国公路建设市场信用信息管理系统”中无法查询，但可在省级交通运输主管部门“公路建设市场信用信息管理系统”中查询到的网页截图复印件并注明查询路径。</w:t>
            </w:r>
          </w:p>
          <w:p>
            <w:pPr>
              <w:snapToGrid w:val="0"/>
              <w:rPr>
                <w:rFonts w:hAnsi="Times New Roman" w:cs="Times New Roman"/>
                <w:color w:val="auto"/>
                <w:kern w:val="0"/>
              </w:rPr>
            </w:pPr>
            <w:r>
              <w:rPr>
                <w:rFonts w:hint="eastAsia" w:hAnsi="Times New Roman" w:cs="宋体"/>
                <w:color w:val="auto"/>
                <w:kern w:val="0"/>
              </w:rPr>
              <w:t>勘察业绩无法在交通运输部“全国公路建设市场信用信息管理系统”或省级交通运输主管部门“公路建设市场信用信息管理系统”中查询的，应附中标通知书或合同协议书</w:t>
            </w:r>
            <w:r>
              <w:rPr>
                <w:rFonts w:hint="eastAsia" w:cs="宋体"/>
                <w:color w:val="auto"/>
              </w:rPr>
              <w:t>（合同协议书关键页、盖章页部分）</w:t>
            </w:r>
            <w:r>
              <w:rPr>
                <w:rFonts w:hint="eastAsia" w:hAnsi="Times New Roman" w:cs="宋体"/>
                <w:color w:val="auto"/>
                <w:kern w:val="0"/>
              </w:rPr>
              <w:t>复印件并加盖公章（如果投标人提供的上述证明材料无法体现出“投标人须知前附表”附录</w:t>
            </w:r>
            <w:r>
              <w:rPr>
                <w:rFonts w:hAnsi="Times New Roman"/>
                <w:color w:val="auto"/>
                <w:kern w:val="0"/>
              </w:rPr>
              <w:t>4</w:t>
            </w:r>
            <w:r>
              <w:rPr>
                <w:rFonts w:hint="eastAsia" w:hAnsi="Times New Roman" w:cs="宋体"/>
                <w:color w:val="auto"/>
                <w:kern w:val="0"/>
              </w:rPr>
              <w:t>要求的内容，则投标人还需提供由业主开具的证明材料（业主开具的证明材料须为带有业主公章的原件或扫描打印件，并加盖投标人公章））。</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585" w:hRule="atLeast"/>
          <w:jc w:val="center"/>
        </w:trPr>
        <w:tc>
          <w:tcPr>
            <w:tcW w:w="1196" w:type="dxa"/>
            <w:tcBorders>
              <w:top w:val="single" w:color="auto" w:sz="4" w:space="0"/>
              <w:bottom w:val="single" w:color="auto" w:sz="4" w:space="0"/>
              <w:right w:val="single" w:color="auto" w:sz="4" w:space="0"/>
            </w:tcBorders>
            <w:tcMar>
              <w:left w:w="108" w:type="dxa"/>
              <w:right w:w="108" w:type="dxa"/>
            </w:tcMar>
            <w:vAlign w:val="center"/>
          </w:tcPr>
          <w:p>
            <w:pPr>
              <w:autoSpaceDE w:val="0"/>
              <w:autoSpaceDN w:val="0"/>
              <w:snapToGrid w:val="0"/>
              <w:spacing w:line="400" w:lineRule="atLeast"/>
              <w:jc w:val="center"/>
              <w:rPr>
                <w:rFonts w:cs="Times New Roman"/>
                <w:color w:val="auto"/>
              </w:rPr>
            </w:pPr>
            <w:r>
              <w:rPr>
                <w:color w:val="auto"/>
              </w:rPr>
              <w:t>2.2.4</w:t>
            </w:r>
            <w:r>
              <w:rPr>
                <w:rFonts w:hint="eastAsia" w:cs="宋体"/>
                <w:color w:val="auto"/>
              </w:rPr>
              <w:t>（</w:t>
            </w:r>
            <w:r>
              <w:rPr>
                <w:color w:val="auto"/>
              </w:rPr>
              <w:t>4</w:t>
            </w:r>
            <w:r>
              <w:rPr>
                <w:rFonts w:hint="eastAsia" w:cs="宋体"/>
                <w:color w:val="auto"/>
              </w:rPr>
              <w:t>）</w:t>
            </w:r>
          </w:p>
        </w:tc>
        <w:tc>
          <w:tcPr>
            <w:tcW w:w="567"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utoSpaceDE w:val="0"/>
              <w:autoSpaceDN w:val="0"/>
              <w:snapToGrid w:val="0"/>
              <w:spacing w:line="400" w:lineRule="atLeast"/>
              <w:jc w:val="center"/>
              <w:rPr>
                <w:rFonts w:cs="Times New Roman"/>
                <w:color w:val="auto"/>
              </w:rPr>
            </w:pPr>
            <w:r>
              <w:rPr>
                <w:rFonts w:hint="eastAsia" w:cs="宋体"/>
                <w:color w:val="auto"/>
              </w:rPr>
              <w:t>其他因素</w:t>
            </w:r>
          </w:p>
        </w:tc>
        <w:tc>
          <w:tcPr>
            <w:tcW w:w="567"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utoSpaceDE w:val="0"/>
              <w:autoSpaceDN w:val="0"/>
              <w:snapToGrid w:val="0"/>
              <w:spacing w:line="400" w:lineRule="atLeast"/>
              <w:jc w:val="center"/>
              <w:rPr>
                <w:rFonts w:hAnsi="Times New Roman" w:cs="Times New Roman"/>
                <w:color w:val="auto"/>
                <w:kern w:val="0"/>
              </w:rPr>
            </w:pPr>
            <w:r>
              <w:rPr>
                <w:rFonts w:hint="eastAsia" w:hAnsi="Times New Roman" w:cs="宋体"/>
                <w:color w:val="auto"/>
                <w:kern w:val="0"/>
              </w:rPr>
              <w:t>履约信誉</w:t>
            </w:r>
          </w:p>
        </w:tc>
        <w:tc>
          <w:tcPr>
            <w:tcW w:w="113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utoSpaceDE w:val="0"/>
              <w:autoSpaceDN w:val="0"/>
              <w:snapToGrid w:val="0"/>
              <w:spacing w:line="400" w:lineRule="atLeast"/>
              <w:jc w:val="center"/>
              <w:rPr>
                <w:rFonts w:hAnsi="Times New Roman" w:cs="Times New Roman"/>
                <w:color w:val="auto"/>
                <w:kern w:val="0"/>
                <w:u w:val="single"/>
              </w:rPr>
            </w:pPr>
            <w:r>
              <w:rPr>
                <w:rFonts w:hint="eastAsia" w:hAnsi="Times New Roman"/>
                <w:color w:val="auto"/>
                <w:kern w:val="0"/>
                <w:u w:val="single"/>
              </w:rPr>
              <w:t xml:space="preserve">5 </w:t>
            </w:r>
            <w:r>
              <w:rPr>
                <w:rFonts w:hint="eastAsia" w:hAnsi="Times New Roman" w:cs="宋体"/>
                <w:color w:val="auto"/>
                <w:kern w:val="0"/>
              </w:rPr>
              <w:t>分</w:t>
            </w:r>
          </w:p>
        </w:tc>
        <w:tc>
          <w:tcPr>
            <w:tcW w:w="210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utoSpaceDE w:val="0"/>
              <w:autoSpaceDN w:val="0"/>
              <w:snapToGrid w:val="0"/>
              <w:spacing w:line="312" w:lineRule="auto"/>
              <w:rPr>
                <w:rFonts w:hAnsi="Times New Roman" w:cs="Times New Roman"/>
                <w:color w:val="auto"/>
                <w:kern w:val="0"/>
              </w:rPr>
            </w:pPr>
            <w:r>
              <w:rPr>
                <w:rFonts w:hint="eastAsia" w:hAnsi="Times New Roman" w:cs="宋体"/>
                <w:color w:val="auto"/>
                <w:kern w:val="0"/>
              </w:rPr>
              <w:t>投标人信用等级评价</w:t>
            </w:r>
          </w:p>
        </w:tc>
        <w:tc>
          <w:tcPr>
            <w:tcW w:w="87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autoSpaceDE w:val="0"/>
              <w:autoSpaceDN w:val="0"/>
              <w:snapToGrid w:val="0"/>
              <w:spacing w:line="312" w:lineRule="auto"/>
              <w:jc w:val="center"/>
              <w:rPr>
                <w:rFonts w:hAnsi="Times New Roman" w:cs="Times New Roman"/>
                <w:color w:val="auto"/>
                <w:kern w:val="0"/>
                <w:u w:val="single"/>
              </w:rPr>
            </w:pPr>
            <w:r>
              <w:rPr>
                <w:rFonts w:hint="eastAsia" w:hAnsi="Times New Roman"/>
                <w:color w:val="auto"/>
                <w:kern w:val="0"/>
                <w:u w:val="single"/>
              </w:rPr>
              <w:t xml:space="preserve">5 </w:t>
            </w:r>
            <w:r>
              <w:rPr>
                <w:rFonts w:hint="eastAsia" w:hAnsi="Times New Roman" w:cs="宋体"/>
                <w:color w:val="auto"/>
                <w:kern w:val="0"/>
              </w:rPr>
              <w:t>分</w:t>
            </w:r>
          </w:p>
        </w:tc>
        <w:tc>
          <w:tcPr>
            <w:tcW w:w="3101" w:type="dxa"/>
            <w:tcBorders>
              <w:top w:val="single" w:color="auto" w:sz="4" w:space="0"/>
              <w:left w:val="single" w:color="auto" w:sz="4" w:space="0"/>
              <w:bottom w:val="single" w:color="auto" w:sz="4" w:space="0"/>
            </w:tcBorders>
            <w:tcMar>
              <w:left w:w="108" w:type="dxa"/>
              <w:right w:w="108" w:type="dxa"/>
            </w:tcMar>
            <w:vAlign w:val="center"/>
          </w:tcPr>
          <w:p>
            <w:pPr>
              <w:snapToGrid w:val="0"/>
              <w:spacing w:line="312" w:lineRule="auto"/>
              <w:rPr>
                <w:rFonts w:hAnsi="Times New Roman" w:cs="Times New Roman"/>
                <w:color w:val="auto"/>
                <w:kern w:val="0"/>
              </w:rPr>
            </w:pPr>
            <w:r>
              <w:rPr>
                <w:rFonts w:hint="eastAsia" w:cs="宋体"/>
                <w:color w:val="auto"/>
              </w:rPr>
              <w:t>在公路建设市场信用等级评价获得AA 级的，得 5 分；获得 A 级的，得3 分；获得 B 级的，得 1 分，其余得 0 分。（</w:t>
            </w:r>
            <w:r>
              <w:rPr>
                <w:rFonts w:hint="eastAsia" w:cs="宋体"/>
                <w:color w:val="auto"/>
                <w:kern w:val="0"/>
              </w:rPr>
              <w:t>交通运输部</w:t>
            </w:r>
            <w:r>
              <w:rPr>
                <w:rFonts w:hint="eastAsia"/>
                <w:color w:val="auto"/>
                <w:kern w:val="0"/>
              </w:rPr>
              <w:t>2020</w:t>
            </w:r>
            <w:r>
              <w:rPr>
                <w:rFonts w:hint="eastAsia" w:cs="宋体"/>
                <w:color w:val="auto"/>
                <w:kern w:val="0"/>
              </w:rPr>
              <w:t>年度公路建设从业企业全国综合信用评价和</w:t>
            </w:r>
            <w:r>
              <w:rPr>
                <w:rFonts w:hint="eastAsia"/>
                <w:color w:val="auto"/>
                <w:kern w:val="0"/>
              </w:rPr>
              <w:t>2020</w:t>
            </w:r>
            <w:r>
              <w:rPr>
                <w:rFonts w:hint="eastAsia" w:cs="宋体"/>
                <w:color w:val="auto"/>
                <w:kern w:val="0"/>
              </w:rPr>
              <w:t>年度天津市公路工程从业单位信用评价均未参与的，若无不良信用记录的，视同为</w:t>
            </w:r>
            <w:r>
              <w:rPr>
                <w:color w:val="auto"/>
                <w:kern w:val="0"/>
              </w:rPr>
              <w:t>A</w:t>
            </w:r>
            <w:r>
              <w:rPr>
                <w:rFonts w:hint="eastAsia" w:cs="宋体"/>
                <w:color w:val="auto"/>
                <w:kern w:val="0"/>
              </w:rPr>
              <w:t>级。（须附未参与评价的说明并加盖公章，并在说明中写明属于以下哪种情况</w:t>
            </w:r>
            <w:r>
              <w:rPr>
                <w:color w:val="auto"/>
                <w:kern w:val="0"/>
              </w:rPr>
              <w:t>1</w:t>
            </w:r>
            <w:r>
              <w:rPr>
                <w:rFonts w:hint="eastAsia" w:cs="宋体"/>
                <w:color w:val="auto"/>
                <w:kern w:val="0"/>
              </w:rPr>
              <w:t>、未参加</w:t>
            </w:r>
            <w:r>
              <w:rPr>
                <w:rFonts w:hint="eastAsia"/>
                <w:color w:val="auto"/>
                <w:kern w:val="0"/>
              </w:rPr>
              <w:t>2020</w:t>
            </w:r>
            <w:r>
              <w:rPr>
                <w:rFonts w:hint="eastAsia" w:cs="宋体"/>
                <w:color w:val="auto"/>
                <w:kern w:val="0"/>
              </w:rPr>
              <w:t>年度天津市公路工程从业单位信用评价或交通运输部</w:t>
            </w:r>
            <w:r>
              <w:rPr>
                <w:rFonts w:hint="eastAsia"/>
                <w:color w:val="auto"/>
                <w:kern w:val="0"/>
              </w:rPr>
              <w:t>2020</w:t>
            </w:r>
            <w:r>
              <w:rPr>
                <w:rFonts w:hint="eastAsia" w:cs="宋体"/>
                <w:color w:val="auto"/>
                <w:kern w:val="0"/>
              </w:rPr>
              <w:t>年度公路建设从业企业全国综合信用评价；</w:t>
            </w:r>
            <w:r>
              <w:rPr>
                <w:color w:val="auto"/>
                <w:kern w:val="0"/>
              </w:rPr>
              <w:t>2</w:t>
            </w:r>
            <w:r>
              <w:rPr>
                <w:rFonts w:hint="eastAsia" w:cs="宋体"/>
                <w:color w:val="auto"/>
                <w:kern w:val="0"/>
              </w:rPr>
              <w:t>、交通运输部</w:t>
            </w:r>
            <w:r>
              <w:rPr>
                <w:rFonts w:hint="eastAsia"/>
                <w:color w:val="auto"/>
                <w:kern w:val="0"/>
              </w:rPr>
              <w:t>2020</w:t>
            </w:r>
            <w:r>
              <w:rPr>
                <w:rFonts w:hint="eastAsia" w:cs="宋体"/>
                <w:color w:val="auto"/>
                <w:kern w:val="0"/>
              </w:rPr>
              <w:t>年度公路建设从业企业全国综合信用评价和</w:t>
            </w:r>
            <w:r>
              <w:rPr>
                <w:rFonts w:hint="eastAsia"/>
                <w:color w:val="auto"/>
                <w:kern w:val="0"/>
              </w:rPr>
              <w:t>2020</w:t>
            </w:r>
            <w:r>
              <w:rPr>
                <w:rFonts w:hint="eastAsia" w:cs="宋体"/>
                <w:color w:val="auto"/>
                <w:kern w:val="0"/>
              </w:rPr>
              <w:t>年度天津市公路工程从业单位信用评价均未参与）</w:t>
            </w:r>
            <w:r>
              <w:rPr>
                <w:rFonts w:hint="eastAsia" w:cs="宋体"/>
                <w:color w:val="auto"/>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703" w:hRule="atLeast"/>
          <w:jc w:val="center"/>
        </w:trPr>
        <w:tc>
          <w:tcPr>
            <w:tcW w:w="9541" w:type="dxa"/>
            <w:gridSpan w:val="7"/>
            <w:tcBorders>
              <w:top w:val="single" w:color="auto" w:sz="4" w:space="0"/>
              <w:bottom w:val="single" w:color="auto" w:sz="4" w:space="0"/>
            </w:tcBorders>
            <w:tcMar>
              <w:left w:w="108" w:type="dxa"/>
              <w:right w:w="108" w:type="dxa"/>
            </w:tcMar>
            <w:vAlign w:val="center"/>
          </w:tcPr>
          <w:p>
            <w:pPr>
              <w:autoSpaceDE w:val="0"/>
              <w:autoSpaceDN w:val="0"/>
              <w:snapToGrid w:val="0"/>
              <w:spacing w:line="400" w:lineRule="atLeast"/>
              <w:jc w:val="left"/>
              <w:rPr>
                <w:rFonts w:hAnsi="Times New Roman" w:cs="Times New Roman"/>
                <w:color w:val="auto"/>
              </w:rPr>
            </w:pPr>
            <w:r>
              <w:rPr>
                <w:rFonts w:hint="eastAsia" w:hAnsi="Times New Roman" w:cs="宋体"/>
                <w:color w:val="auto"/>
              </w:rPr>
              <w:t>需要补充的其他内容：</w:t>
            </w:r>
          </w:p>
          <w:p>
            <w:pPr>
              <w:autoSpaceDE w:val="0"/>
              <w:autoSpaceDN w:val="0"/>
              <w:snapToGrid w:val="0"/>
              <w:spacing w:line="400" w:lineRule="atLeast"/>
              <w:jc w:val="left"/>
              <w:rPr>
                <w:rFonts w:hAnsi="Times New Roman" w:cs="Times New Roman"/>
                <w:color w:val="auto"/>
              </w:rPr>
            </w:pPr>
            <w:r>
              <w:rPr>
                <w:rFonts w:hint="eastAsia" w:hAnsi="Times New Roman" w:cs="宋体"/>
                <w:color w:val="auto"/>
              </w:rPr>
              <w:t>评标委员会对投标文件进行评审后，因有效投标不足</w:t>
            </w:r>
            <w:r>
              <w:rPr>
                <w:rFonts w:hAnsi="Times New Roman"/>
                <w:color w:val="auto"/>
              </w:rPr>
              <w:t>3</w:t>
            </w:r>
            <w:r>
              <w:rPr>
                <w:rFonts w:hint="eastAsia" w:hAnsi="Times New Roman" w:cs="宋体"/>
                <w:color w:val="auto"/>
              </w:rPr>
              <w:t>个使得投标明显缺乏竞争的，可以否决全部投标。未否决全部投标的，评标委员会应当在评标报告中阐明理由。</w:t>
            </w:r>
          </w:p>
          <w:p>
            <w:pPr>
              <w:autoSpaceDE w:val="0"/>
              <w:autoSpaceDN w:val="0"/>
              <w:snapToGrid w:val="0"/>
              <w:spacing w:line="400" w:lineRule="atLeast"/>
              <w:jc w:val="left"/>
              <w:rPr>
                <w:rFonts w:hAnsi="Times New Roman" w:cs="Times New Roman"/>
                <w:color w:val="auto"/>
              </w:rPr>
            </w:pPr>
            <w:r>
              <w:rPr>
                <w:rFonts w:hint="eastAsia" w:hAnsi="Times New Roman" w:cs="宋体"/>
                <w:color w:val="auto"/>
              </w:rPr>
              <w:t>评标委员会成员应当按照评标办法的规定，独立评分并署名。</w:t>
            </w:r>
          </w:p>
        </w:tc>
      </w:tr>
    </w:tbl>
    <w:p>
      <w:pPr>
        <w:autoSpaceDE w:val="0"/>
        <w:autoSpaceDN w:val="0"/>
        <w:snapToGrid w:val="0"/>
        <w:spacing w:line="400" w:lineRule="atLeast"/>
        <w:jc w:val="left"/>
        <w:rPr>
          <w:rFonts w:hAnsi="Times New Roman" w:cs="Times New Roman"/>
          <w:color w:val="auto"/>
        </w:rPr>
      </w:pPr>
      <w:r>
        <w:rPr>
          <w:rFonts w:hint="eastAsia" w:hAnsi="Times New Roman" w:cs="宋体"/>
          <w:color w:val="auto"/>
        </w:rPr>
        <w:t>注：各评分因素（评标价除外）得分一般不得低于其权重分值的</w:t>
      </w:r>
      <w:r>
        <w:rPr>
          <w:rFonts w:hAnsi="Times New Roman"/>
          <w:color w:val="auto"/>
        </w:rPr>
        <w:t>60%</w:t>
      </w:r>
      <w:r>
        <w:rPr>
          <w:rFonts w:hint="eastAsia" w:hAnsi="Times New Roman" w:cs="宋体"/>
          <w:color w:val="auto"/>
        </w:rPr>
        <w:t>，且各评分因素得分应以评标委员会各成员的打分平均值确定，评标委员会成员总数为</w:t>
      </w:r>
      <w:r>
        <w:rPr>
          <w:rFonts w:hAnsi="Times New Roman"/>
          <w:color w:val="auto"/>
        </w:rPr>
        <w:t>7</w:t>
      </w:r>
      <w:r>
        <w:rPr>
          <w:rFonts w:hint="eastAsia" w:hAnsi="Times New Roman" w:cs="宋体"/>
          <w:color w:val="auto"/>
        </w:rPr>
        <w:t>（含</w:t>
      </w:r>
      <w:r>
        <w:rPr>
          <w:rFonts w:hAnsi="Times New Roman"/>
          <w:color w:val="auto"/>
        </w:rPr>
        <w:t>7</w:t>
      </w:r>
      <w:r>
        <w:rPr>
          <w:rFonts w:hint="eastAsia" w:hAnsi="Times New Roman" w:cs="宋体"/>
          <w:color w:val="auto"/>
        </w:rPr>
        <w:t>人）人以上时，该平均值以去掉一个最高分和一个最低分后计算，保留</w:t>
      </w:r>
      <w:r>
        <w:rPr>
          <w:rFonts w:hAnsi="Times New Roman"/>
          <w:color w:val="auto"/>
        </w:rPr>
        <w:t>2</w:t>
      </w:r>
      <w:r>
        <w:rPr>
          <w:rFonts w:hint="eastAsia" w:hAnsi="Times New Roman" w:cs="宋体"/>
          <w:color w:val="auto"/>
        </w:rPr>
        <w:t>位小数。评标委员会成员对某一项评分因素的评分低于权重分值</w:t>
      </w:r>
      <w:r>
        <w:rPr>
          <w:rFonts w:hAnsi="Times New Roman"/>
          <w:color w:val="auto"/>
        </w:rPr>
        <w:t>60%</w:t>
      </w:r>
      <w:r>
        <w:rPr>
          <w:rFonts w:hint="eastAsia" w:hAnsi="Times New Roman" w:cs="宋体"/>
          <w:color w:val="auto"/>
        </w:rPr>
        <w:t>的，应在评标报告中作出说明。</w:t>
      </w:r>
    </w:p>
    <w:p>
      <w:pPr>
        <w:autoSpaceDE w:val="0"/>
        <w:autoSpaceDN w:val="0"/>
        <w:adjustRightInd w:val="0"/>
        <w:spacing w:line="400" w:lineRule="atLeast"/>
        <w:jc w:val="left"/>
        <w:rPr>
          <w:rFonts w:hAnsi="Times New Roman" w:cs="Times New Roman"/>
          <w:color w:val="auto"/>
        </w:rPr>
        <w:sectPr>
          <w:footnotePr>
            <w:numFmt w:val="decimalEnclosedCircle"/>
            <w:numRestart w:val="eachPage"/>
          </w:footnotePr>
          <w:pgSz w:w="11907" w:h="16840"/>
          <w:pgMar w:top="1240" w:right="1087" w:bottom="1440" w:left="1360" w:header="720" w:footer="720" w:gutter="0"/>
          <w:cols w:space="720" w:num="1"/>
          <w:titlePg/>
        </w:sectPr>
      </w:pPr>
    </w:p>
    <w:p>
      <w:pPr>
        <w:pStyle w:val="50"/>
        <w:spacing w:line="360" w:lineRule="auto"/>
        <w:rPr>
          <w:rFonts w:ascii="黑体" w:eastAsia="黑体" w:cs="Times New Roman"/>
          <w:color w:val="auto"/>
          <w:sz w:val="21"/>
          <w:szCs w:val="21"/>
        </w:rPr>
      </w:pPr>
      <w:r>
        <w:rPr>
          <w:rFonts w:ascii="黑体" w:eastAsia="黑体" w:cs="黑体"/>
          <w:b/>
          <w:bCs/>
          <w:color w:val="auto"/>
          <w:sz w:val="21"/>
          <w:szCs w:val="21"/>
        </w:rPr>
        <w:t xml:space="preserve">1. </w:t>
      </w:r>
      <w:r>
        <w:rPr>
          <w:rFonts w:hint="eastAsia" w:ascii="黑体" w:eastAsia="黑体" w:cs="黑体"/>
          <w:b/>
          <w:bCs/>
          <w:color w:val="auto"/>
          <w:sz w:val="21"/>
          <w:szCs w:val="21"/>
        </w:rPr>
        <w:t>评标方法</w:t>
      </w:r>
    </w:p>
    <w:p>
      <w:pPr>
        <w:pStyle w:val="50"/>
        <w:spacing w:line="360" w:lineRule="auto"/>
        <w:ind w:firstLine="420" w:firstLineChars="200"/>
        <w:rPr>
          <w:rFonts w:cs="Times New Roman"/>
          <w:color w:val="auto"/>
          <w:sz w:val="21"/>
          <w:szCs w:val="21"/>
        </w:rPr>
      </w:pPr>
      <w:r>
        <w:rPr>
          <w:rFonts w:hint="eastAsia" w:cs="宋体"/>
          <w:color w:val="auto"/>
          <w:sz w:val="21"/>
          <w:szCs w:val="21"/>
        </w:rPr>
        <w:t>本次评标采用综合评估法。评标委员会对满足招标文件实质性要求的投标文件，按照本章第</w:t>
      </w:r>
      <w:r>
        <w:rPr>
          <w:color w:val="auto"/>
          <w:sz w:val="21"/>
          <w:szCs w:val="21"/>
        </w:rPr>
        <w:t>2.2</w:t>
      </w:r>
      <w:r>
        <w:rPr>
          <w:rFonts w:hint="eastAsia" w:cs="宋体"/>
          <w:color w:val="auto"/>
          <w:sz w:val="21"/>
          <w:szCs w:val="21"/>
        </w:rPr>
        <w:t>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招标人。</w:t>
      </w:r>
    </w:p>
    <w:p>
      <w:pPr>
        <w:pStyle w:val="50"/>
        <w:spacing w:line="360" w:lineRule="auto"/>
        <w:rPr>
          <w:rFonts w:ascii="黑体" w:eastAsia="黑体" w:cs="Times New Roman"/>
          <w:color w:val="auto"/>
          <w:sz w:val="21"/>
          <w:szCs w:val="21"/>
        </w:rPr>
      </w:pPr>
      <w:r>
        <w:rPr>
          <w:rFonts w:ascii="黑体" w:eastAsia="黑体" w:cs="黑体"/>
          <w:b/>
          <w:bCs/>
          <w:color w:val="auto"/>
          <w:sz w:val="21"/>
          <w:szCs w:val="21"/>
        </w:rPr>
        <w:t>2.</w:t>
      </w:r>
      <w:r>
        <w:rPr>
          <w:rFonts w:hint="eastAsia" w:ascii="黑体" w:eastAsia="黑体" w:cs="黑体"/>
          <w:b/>
          <w:bCs/>
          <w:color w:val="auto"/>
          <w:sz w:val="21"/>
          <w:szCs w:val="21"/>
        </w:rPr>
        <w:t>评审标准</w:t>
      </w:r>
    </w:p>
    <w:p>
      <w:pPr>
        <w:pStyle w:val="50"/>
        <w:spacing w:line="360" w:lineRule="auto"/>
        <w:rPr>
          <w:rFonts w:ascii="黑体" w:eastAsia="黑体" w:cs="Times New Roman"/>
          <w:b/>
          <w:bCs/>
          <w:color w:val="auto"/>
          <w:sz w:val="21"/>
          <w:szCs w:val="21"/>
        </w:rPr>
      </w:pPr>
      <w:r>
        <w:rPr>
          <w:b/>
          <w:bCs/>
          <w:color w:val="auto"/>
          <w:sz w:val="21"/>
          <w:szCs w:val="21"/>
        </w:rPr>
        <w:t xml:space="preserve">2.1 </w:t>
      </w:r>
      <w:r>
        <w:rPr>
          <w:rFonts w:hint="eastAsia" w:cs="宋体"/>
          <w:b/>
          <w:bCs/>
          <w:color w:val="auto"/>
          <w:sz w:val="21"/>
          <w:szCs w:val="21"/>
        </w:rPr>
        <w:t>初步</w:t>
      </w:r>
      <w:r>
        <w:rPr>
          <w:rFonts w:hint="eastAsia" w:ascii="黑体" w:eastAsia="黑体" w:cs="黑体"/>
          <w:b/>
          <w:bCs/>
          <w:color w:val="auto"/>
          <w:sz w:val="21"/>
          <w:szCs w:val="21"/>
        </w:rPr>
        <w:t>评审标准</w:t>
      </w:r>
    </w:p>
    <w:p>
      <w:pPr>
        <w:pStyle w:val="50"/>
        <w:spacing w:line="360" w:lineRule="auto"/>
        <w:ind w:firstLine="420" w:firstLineChars="200"/>
        <w:rPr>
          <w:rFonts w:cs="Times New Roman"/>
          <w:color w:val="auto"/>
          <w:sz w:val="21"/>
          <w:szCs w:val="21"/>
        </w:rPr>
      </w:pPr>
      <w:r>
        <w:rPr>
          <w:color w:val="auto"/>
          <w:sz w:val="21"/>
          <w:szCs w:val="21"/>
        </w:rPr>
        <w:t xml:space="preserve">2.1.1 </w:t>
      </w:r>
      <w:r>
        <w:rPr>
          <w:rFonts w:hint="eastAsia" w:cs="宋体"/>
          <w:color w:val="auto"/>
          <w:sz w:val="21"/>
          <w:szCs w:val="21"/>
        </w:rPr>
        <w:t>形式评审标准：见评标办法前附表。</w:t>
      </w:r>
    </w:p>
    <w:p>
      <w:pPr>
        <w:pStyle w:val="50"/>
        <w:spacing w:line="360" w:lineRule="auto"/>
        <w:ind w:firstLine="420" w:firstLineChars="200"/>
        <w:rPr>
          <w:rFonts w:cs="Times New Roman"/>
          <w:color w:val="auto"/>
          <w:sz w:val="21"/>
          <w:szCs w:val="21"/>
        </w:rPr>
      </w:pPr>
      <w:r>
        <w:rPr>
          <w:color w:val="auto"/>
          <w:sz w:val="21"/>
          <w:szCs w:val="21"/>
        </w:rPr>
        <w:t xml:space="preserve">2.1.2 </w:t>
      </w:r>
      <w:r>
        <w:rPr>
          <w:rFonts w:hint="eastAsia" w:cs="宋体"/>
          <w:color w:val="auto"/>
          <w:sz w:val="21"/>
          <w:szCs w:val="21"/>
        </w:rPr>
        <w:t>资格评审标准：见评标办法前附表。</w:t>
      </w:r>
    </w:p>
    <w:p>
      <w:pPr>
        <w:pStyle w:val="50"/>
        <w:spacing w:line="360" w:lineRule="auto"/>
        <w:ind w:firstLine="420" w:firstLineChars="200"/>
        <w:rPr>
          <w:rFonts w:cs="Times New Roman"/>
          <w:color w:val="auto"/>
          <w:sz w:val="21"/>
          <w:szCs w:val="21"/>
        </w:rPr>
      </w:pPr>
      <w:r>
        <w:rPr>
          <w:color w:val="auto"/>
          <w:sz w:val="21"/>
          <w:szCs w:val="21"/>
        </w:rPr>
        <w:t xml:space="preserve">2.1.3 </w:t>
      </w:r>
      <w:r>
        <w:rPr>
          <w:rFonts w:hint="eastAsia" w:cs="宋体"/>
          <w:color w:val="auto"/>
          <w:sz w:val="21"/>
          <w:szCs w:val="21"/>
        </w:rPr>
        <w:t>响应性资格评审标准：见评标办法前附表。</w:t>
      </w:r>
    </w:p>
    <w:p>
      <w:pPr>
        <w:pStyle w:val="50"/>
        <w:spacing w:line="360" w:lineRule="auto"/>
        <w:rPr>
          <w:rFonts w:cs="Times New Roman"/>
          <w:b/>
          <w:bCs/>
          <w:color w:val="auto"/>
          <w:sz w:val="21"/>
          <w:szCs w:val="21"/>
        </w:rPr>
      </w:pPr>
      <w:r>
        <w:rPr>
          <w:b/>
          <w:bCs/>
          <w:color w:val="auto"/>
          <w:sz w:val="21"/>
          <w:szCs w:val="21"/>
        </w:rPr>
        <w:t xml:space="preserve">2.2 </w:t>
      </w:r>
      <w:r>
        <w:rPr>
          <w:rFonts w:hint="eastAsia" w:cs="宋体"/>
          <w:b/>
          <w:bCs/>
          <w:color w:val="auto"/>
          <w:sz w:val="21"/>
          <w:szCs w:val="21"/>
        </w:rPr>
        <w:t>分值构成与评分标准</w:t>
      </w:r>
    </w:p>
    <w:p>
      <w:pPr>
        <w:pStyle w:val="50"/>
        <w:spacing w:line="360" w:lineRule="auto"/>
        <w:ind w:firstLine="422" w:firstLineChars="200"/>
        <w:rPr>
          <w:rFonts w:cs="Times New Roman"/>
          <w:b/>
          <w:bCs/>
          <w:color w:val="auto"/>
          <w:sz w:val="21"/>
          <w:szCs w:val="21"/>
        </w:rPr>
      </w:pPr>
      <w:r>
        <w:rPr>
          <w:b/>
          <w:bCs/>
          <w:color w:val="auto"/>
          <w:sz w:val="21"/>
          <w:szCs w:val="21"/>
        </w:rPr>
        <w:t xml:space="preserve">2.2.1 </w:t>
      </w:r>
      <w:r>
        <w:rPr>
          <w:rFonts w:hint="eastAsia" w:cs="宋体"/>
          <w:b/>
          <w:bCs/>
          <w:color w:val="auto"/>
          <w:sz w:val="21"/>
          <w:szCs w:val="21"/>
        </w:rPr>
        <w:t>分值构成</w:t>
      </w:r>
    </w:p>
    <w:p>
      <w:pPr>
        <w:pStyle w:val="50"/>
        <w:spacing w:line="360" w:lineRule="auto"/>
        <w:ind w:firstLine="420" w:firstLineChars="200"/>
        <w:rPr>
          <w:rFonts w:cs="Times New Roman"/>
          <w:color w:val="auto"/>
          <w:sz w:val="21"/>
          <w:szCs w:val="21"/>
        </w:rPr>
      </w:pPr>
      <w:r>
        <w:rPr>
          <w:rFonts w:hint="eastAsia" w:cs="宋体"/>
          <w:color w:val="auto"/>
          <w:sz w:val="21"/>
          <w:szCs w:val="21"/>
        </w:rPr>
        <w:t>（</w:t>
      </w:r>
      <w:r>
        <w:rPr>
          <w:color w:val="auto"/>
          <w:sz w:val="21"/>
          <w:szCs w:val="21"/>
        </w:rPr>
        <w:t>1</w:t>
      </w:r>
      <w:r>
        <w:rPr>
          <w:rFonts w:hint="eastAsia" w:cs="宋体"/>
          <w:color w:val="auto"/>
          <w:sz w:val="21"/>
          <w:szCs w:val="21"/>
        </w:rPr>
        <w:t>）技术建议书：见评标办法前附表；</w:t>
      </w:r>
    </w:p>
    <w:p>
      <w:pPr>
        <w:pStyle w:val="50"/>
        <w:spacing w:line="360" w:lineRule="auto"/>
        <w:ind w:firstLine="420" w:firstLineChars="200"/>
        <w:rPr>
          <w:rFonts w:cs="Times New Roman"/>
          <w:color w:val="auto"/>
          <w:sz w:val="21"/>
          <w:szCs w:val="21"/>
        </w:rPr>
      </w:pPr>
      <w:r>
        <w:rPr>
          <w:rFonts w:hint="eastAsia" w:cs="宋体"/>
          <w:color w:val="auto"/>
          <w:sz w:val="21"/>
          <w:szCs w:val="21"/>
        </w:rPr>
        <w:t>（</w:t>
      </w:r>
      <w:r>
        <w:rPr>
          <w:color w:val="auto"/>
          <w:sz w:val="21"/>
          <w:szCs w:val="21"/>
        </w:rPr>
        <w:t>2</w:t>
      </w:r>
      <w:r>
        <w:rPr>
          <w:rFonts w:hint="eastAsia" w:cs="宋体"/>
          <w:color w:val="auto"/>
          <w:sz w:val="21"/>
          <w:szCs w:val="21"/>
        </w:rPr>
        <w:t>）主要人员：见评标办法前附表；</w:t>
      </w:r>
    </w:p>
    <w:p>
      <w:pPr>
        <w:pStyle w:val="50"/>
        <w:spacing w:line="360" w:lineRule="auto"/>
        <w:ind w:firstLine="420" w:firstLineChars="200"/>
        <w:rPr>
          <w:rFonts w:cs="Times New Roman"/>
          <w:color w:val="auto"/>
          <w:sz w:val="21"/>
          <w:szCs w:val="21"/>
        </w:rPr>
      </w:pPr>
      <w:r>
        <w:rPr>
          <w:rFonts w:hint="eastAsia" w:cs="宋体"/>
          <w:color w:val="auto"/>
          <w:sz w:val="21"/>
          <w:szCs w:val="21"/>
        </w:rPr>
        <w:t>（</w:t>
      </w:r>
      <w:r>
        <w:rPr>
          <w:color w:val="auto"/>
          <w:sz w:val="21"/>
          <w:szCs w:val="21"/>
        </w:rPr>
        <w:t>3</w:t>
      </w:r>
      <w:r>
        <w:rPr>
          <w:rFonts w:hint="eastAsia" w:cs="宋体"/>
          <w:color w:val="auto"/>
          <w:sz w:val="21"/>
          <w:szCs w:val="21"/>
        </w:rPr>
        <w:t>）评标价：见评标办法前附表；</w:t>
      </w:r>
    </w:p>
    <w:p>
      <w:pPr>
        <w:pStyle w:val="50"/>
        <w:spacing w:line="360" w:lineRule="auto"/>
        <w:ind w:firstLine="420" w:firstLineChars="200"/>
        <w:rPr>
          <w:rFonts w:cs="Times New Roman"/>
          <w:color w:val="auto"/>
          <w:sz w:val="21"/>
          <w:szCs w:val="21"/>
        </w:rPr>
      </w:pPr>
      <w:r>
        <w:rPr>
          <w:rFonts w:hint="eastAsia" w:cs="宋体"/>
          <w:color w:val="auto"/>
          <w:sz w:val="21"/>
          <w:szCs w:val="21"/>
        </w:rPr>
        <w:t>（</w:t>
      </w:r>
      <w:r>
        <w:rPr>
          <w:color w:val="auto"/>
          <w:sz w:val="21"/>
          <w:szCs w:val="21"/>
        </w:rPr>
        <w:t>4</w:t>
      </w:r>
      <w:r>
        <w:rPr>
          <w:rFonts w:hint="eastAsia" w:cs="宋体"/>
          <w:color w:val="auto"/>
          <w:sz w:val="21"/>
          <w:szCs w:val="21"/>
        </w:rPr>
        <w:t>）其他评分因素：见评标办法前附表。</w:t>
      </w:r>
    </w:p>
    <w:p>
      <w:pPr>
        <w:pStyle w:val="50"/>
        <w:spacing w:line="360" w:lineRule="auto"/>
        <w:ind w:firstLine="422" w:firstLineChars="200"/>
        <w:rPr>
          <w:rFonts w:cs="Times New Roman"/>
          <w:b/>
          <w:bCs/>
          <w:color w:val="auto"/>
          <w:sz w:val="21"/>
          <w:szCs w:val="21"/>
        </w:rPr>
      </w:pPr>
      <w:r>
        <w:rPr>
          <w:b/>
          <w:bCs/>
          <w:color w:val="auto"/>
          <w:sz w:val="21"/>
          <w:szCs w:val="21"/>
        </w:rPr>
        <w:t xml:space="preserve">2.2.2 </w:t>
      </w:r>
      <w:r>
        <w:rPr>
          <w:rFonts w:hint="eastAsia" w:cs="宋体"/>
          <w:b/>
          <w:bCs/>
          <w:color w:val="auto"/>
          <w:sz w:val="21"/>
          <w:szCs w:val="21"/>
        </w:rPr>
        <w:t>评标基准价计算</w:t>
      </w:r>
    </w:p>
    <w:p>
      <w:pPr>
        <w:pStyle w:val="50"/>
        <w:spacing w:line="360" w:lineRule="auto"/>
        <w:ind w:firstLine="420" w:firstLineChars="200"/>
        <w:rPr>
          <w:rFonts w:cs="Times New Roman"/>
          <w:color w:val="auto"/>
          <w:sz w:val="21"/>
          <w:szCs w:val="21"/>
        </w:rPr>
      </w:pPr>
      <w:r>
        <w:rPr>
          <w:rFonts w:hint="eastAsia" w:cs="宋体"/>
          <w:color w:val="auto"/>
          <w:sz w:val="21"/>
          <w:szCs w:val="21"/>
        </w:rPr>
        <w:t>评标基准价计算方法：见评标办法前附表。</w:t>
      </w:r>
    </w:p>
    <w:p>
      <w:pPr>
        <w:pStyle w:val="50"/>
        <w:spacing w:line="360" w:lineRule="auto"/>
        <w:ind w:firstLine="422" w:firstLineChars="200"/>
        <w:rPr>
          <w:rFonts w:cs="Times New Roman"/>
          <w:b/>
          <w:bCs/>
          <w:color w:val="auto"/>
          <w:sz w:val="21"/>
          <w:szCs w:val="21"/>
        </w:rPr>
      </w:pPr>
      <w:r>
        <w:rPr>
          <w:b/>
          <w:bCs/>
          <w:color w:val="auto"/>
          <w:sz w:val="21"/>
          <w:szCs w:val="21"/>
        </w:rPr>
        <w:t xml:space="preserve">2.2.3 </w:t>
      </w:r>
      <w:r>
        <w:rPr>
          <w:rFonts w:hint="eastAsia" w:cs="宋体"/>
          <w:b/>
          <w:bCs/>
          <w:color w:val="auto"/>
          <w:sz w:val="21"/>
          <w:szCs w:val="21"/>
        </w:rPr>
        <w:t>评标价的偏差率计算</w:t>
      </w:r>
    </w:p>
    <w:p>
      <w:pPr>
        <w:pStyle w:val="50"/>
        <w:spacing w:line="360" w:lineRule="auto"/>
        <w:ind w:firstLine="420" w:firstLineChars="200"/>
        <w:rPr>
          <w:rFonts w:cs="Times New Roman"/>
          <w:color w:val="auto"/>
          <w:sz w:val="21"/>
          <w:szCs w:val="21"/>
        </w:rPr>
      </w:pPr>
      <w:r>
        <w:rPr>
          <w:rFonts w:hint="eastAsia" w:cs="宋体"/>
          <w:color w:val="auto"/>
          <w:sz w:val="21"/>
          <w:szCs w:val="21"/>
        </w:rPr>
        <w:t>评标价的偏差率计算公示：见评标办法前附表。</w:t>
      </w:r>
    </w:p>
    <w:p>
      <w:pPr>
        <w:pStyle w:val="50"/>
        <w:spacing w:line="360" w:lineRule="auto"/>
        <w:ind w:firstLine="422" w:firstLineChars="200"/>
        <w:rPr>
          <w:rFonts w:cs="Times New Roman"/>
          <w:b/>
          <w:bCs/>
          <w:color w:val="auto"/>
          <w:sz w:val="21"/>
          <w:szCs w:val="21"/>
        </w:rPr>
      </w:pPr>
      <w:r>
        <w:rPr>
          <w:b/>
          <w:bCs/>
          <w:color w:val="auto"/>
          <w:sz w:val="21"/>
          <w:szCs w:val="21"/>
        </w:rPr>
        <w:t xml:space="preserve">2.2.4 </w:t>
      </w:r>
      <w:r>
        <w:rPr>
          <w:rFonts w:hint="eastAsia" w:cs="宋体"/>
          <w:b/>
          <w:bCs/>
          <w:color w:val="auto"/>
          <w:sz w:val="21"/>
          <w:szCs w:val="21"/>
        </w:rPr>
        <w:t>评分标准</w:t>
      </w:r>
    </w:p>
    <w:p>
      <w:pPr>
        <w:pStyle w:val="50"/>
        <w:spacing w:line="360" w:lineRule="auto"/>
        <w:ind w:firstLine="420" w:firstLineChars="200"/>
        <w:rPr>
          <w:rFonts w:cs="Times New Roman"/>
          <w:color w:val="auto"/>
          <w:sz w:val="21"/>
          <w:szCs w:val="21"/>
        </w:rPr>
      </w:pPr>
      <w:r>
        <w:rPr>
          <w:rFonts w:hint="eastAsia" w:cs="宋体"/>
          <w:color w:val="auto"/>
          <w:sz w:val="21"/>
          <w:szCs w:val="21"/>
        </w:rPr>
        <w:t>（</w:t>
      </w:r>
      <w:r>
        <w:rPr>
          <w:color w:val="auto"/>
          <w:sz w:val="21"/>
          <w:szCs w:val="21"/>
        </w:rPr>
        <w:t>1</w:t>
      </w:r>
      <w:r>
        <w:rPr>
          <w:rFonts w:hint="eastAsia" w:cs="宋体"/>
          <w:color w:val="auto"/>
          <w:sz w:val="21"/>
          <w:szCs w:val="21"/>
        </w:rPr>
        <w:t>）技术建议书评分标准：见评标办法前附表；</w:t>
      </w:r>
    </w:p>
    <w:p>
      <w:pPr>
        <w:pStyle w:val="50"/>
        <w:spacing w:line="360" w:lineRule="auto"/>
        <w:ind w:firstLine="420" w:firstLineChars="200"/>
        <w:rPr>
          <w:rFonts w:cs="Times New Roman"/>
          <w:color w:val="auto"/>
          <w:sz w:val="21"/>
          <w:szCs w:val="21"/>
        </w:rPr>
      </w:pPr>
      <w:r>
        <w:rPr>
          <w:rFonts w:hint="eastAsia" w:cs="宋体"/>
          <w:color w:val="auto"/>
          <w:sz w:val="21"/>
          <w:szCs w:val="21"/>
        </w:rPr>
        <w:t>（</w:t>
      </w:r>
      <w:r>
        <w:rPr>
          <w:color w:val="auto"/>
          <w:sz w:val="21"/>
          <w:szCs w:val="21"/>
        </w:rPr>
        <w:t>2</w:t>
      </w:r>
      <w:r>
        <w:rPr>
          <w:rFonts w:hint="eastAsia" w:cs="宋体"/>
          <w:color w:val="auto"/>
          <w:sz w:val="21"/>
          <w:szCs w:val="21"/>
        </w:rPr>
        <w:t>）主要人员评分标准：见评标办法前附表；</w:t>
      </w:r>
    </w:p>
    <w:p>
      <w:pPr>
        <w:pStyle w:val="50"/>
        <w:spacing w:line="360" w:lineRule="auto"/>
        <w:ind w:firstLine="420" w:firstLineChars="200"/>
        <w:rPr>
          <w:rFonts w:cs="Times New Roman"/>
          <w:color w:val="auto"/>
          <w:sz w:val="21"/>
          <w:szCs w:val="21"/>
        </w:rPr>
      </w:pPr>
      <w:r>
        <w:rPr>
          <w:rFonts w:hint="eastAsia" w:cs="宋体"/>
          <w:color w:val="auto"/>
          <w:sz w:val="21"/>
          <w:szCs w:val="21"/>
        </w:rPr>
        <w:t>（</w:t>
      </w:r>
      <w:r>
        <w:rPr>
          <w:color w:val="auto"/>
          <w:sz w:val="21"/>
          <w:szCs w:val="21"/>
        </w:rPr>
        <w:t>3</w:t>
      </w:r>
      <w:r>
        <w:rPr>
          <w:rFonts w:hint="eastAsia" w:cs="宋体"/>
          <w:color w:val="auto"/>
          <w:sz w:val="21"/>
          <w:szCs w:val="21"/>
        </w:rPr>
        <w:t>）评标价评分标准：见评标办法前附表；</w:t>
      </w:r>
    </w:p>
    <w:p>
      <w:pPr>
        <w:pStyle w:val="50"/>
        <w:spacing w:line="360" w:lineRule="auto"/>
        <w:ind w:firstLine="420" w:firstLineChars="200"/>
        <w:rPr>
          <w:rFonts w:cs="Times New Roman"/>
          <w:b/>
          <w:bCs/>
          <w:color w:val="auto"/>
          <w:sz w:val="21"/>
          <w:szCs w:val="21"/>
        </w:rPr>
      </w:pPr>
      <w:r>
        <w:rPr>
          <w:rFonts w:hint="eastAsia" w:cs="宋体"/>
          <w:color w:val="auto"/>
          <w:sz w:val="21"/>
          <w:szCs w:val="21"/>
        </w:rPr>
        <w:t>（</w:t>
      </w:r>
      <w:r>
        <w:rPr>
          <w:color w:val="auto"/>
          <w:sz w:val="21"/>
          <w:szCs w:val="21"/>
        </w:rPr>
        <w:t>4</w:t>
      </w:r>
      <w:r>
        <w:rPr>
          <w:rFonts w:hint="eastAsia" w:cs="宋体"/>
          <w:color w:val="auto"/>
          <w:sz w:val="21"/>
          <w:szCs w:val="21"/>
        </w:rPr>
        <w:t>）其他评分因素评分标准：见评标办法前附表。</w:t>
      </w:r>
    </w:p>
    <w:p>
      <w:pPr>
        <w:pStyle w:val="50"/>
        <w:spacing w:line="360" w:lineRule="auto"/>
        <w:rPr>
          <w:rFonts w:cs="Times New Roman"/>
          <w:b/>
          <w:bCs/>
          <w:color w:val="auto"/>
          <w:sz w:val="21"/>
          <w:szCs w:val="21"/>
        </w:rPr>
      </w:pPr>
      <w:r>
        <w:rPr>
          <w:b/>
          <w:bCs/>
          <w:color w:val="auto"/>
          <w:sz w:val="21"/>
          <w:szCs w:val="21"/>
        </w:rPr>
        <w:t>3.</w:t>
      </w:r>
      <w:r>
        <w:rPr>
          <w:rFonts w:hint="eastAsia" w:cs="宋体"/>
          <w:b/>
          <w:bCs/>
          <w:color w:val="auto"/>
          <w:sz w:val="21"/>
          <w:szCs w:val="21"/>
        </w:rPr>
        <w:t>评标程序</w:t>
      </w:r>
    </w:p>
    <w:p>
      <w:pPr>
        <w:pStyle w:val="50"/>
        <w:spacing w:line="360" w:lineRule="auto"/>
        <w:rPr>
          <w:rFonts w:cs="Times New Roman"/>
          <w:b/>
          <w:bCs/>
          <w:color w:val="auto"/>
          <w:sz w:val="21"/>
          <w:szCs w:val="21"/>
        </w:rPr>
      </w:pPr>
      <w:r>
        <w:rPr>
          <w:b/>
          <w:bCs/>
          <w:color w:val="auto"/>
          <w:sz w:val="21"/>
          <w:szCs w:val="21"/>
        </w:rPr>
        <w:t xml:space="preserve">3.1 </w:t>
      </w:r>
      <w:r>
        <w:rPr>
          <w:rFonts w:hint="eastAsia" w:cs="宋体"/>
          <w:b/>
          <w:bCs/>
          <w:color w:val="auto"/>
          <w:sz w:val="21"/>
          <w:szCs w:val="21"/>
        </w:rPr>
        <w:t>第一个信封初步评审</w:t>
      </w:r>
    </w:p>
    <w:p>
      <w:pPr>
        <w:pStyle w:val="50"/>
        <w:spacing w:line="360" w:lineRule="auto"/>
        <w:ind w:firstLine="420" w:firstLineChars="200"/>
        <w:rPr>
          <w:rFonts w:cs="Times New Roman"/>
          <w:color w:val="auto"/>
          <w:sz w:val="21"/>
          <w:szCs w:val="21"/>
        </w:rPr>
      </w:pPr>
      <w:r>
        <w:rPr>
          <w:color w:val="auto"/>
          <w:sz w:val="21"/>
          <w:szCs w:val="21"/>
        </w:rPr>
        <w:t xml:space="preserve">3.1.1 </w:t>
      </w:r>
      <w:r>
        <w:rPr>
          <w:rFonts w:hint="eastAsia" w:cs="宋体"/>
          <w:color w:val="auto"/>
          <w:sz w:val="21"/>
          <w:szCs w:val="21"/>
        </w:rPr>
        <w:t>评标委员会可以要求投标人提交第二章“投标人须知”第</w:t>
      </w:r>
      <w:r>
        <w:rPr>
          <w:color w:val="auto"/>
          <w:sz w:val="21"/>
          <w:szCs w:val="21"/>
        </w:rPr>
        <w:t>3.5.1</w:t>
      </w:r>
      <w:r>
        <w:rPr>
          <w:rFonts w:hint="eastAsia" w:cs="宋体"/>
          <w:color w:val="auto"/>
          <w:sz w:val="21"/>
          <w:szCs w:val="21"/>
        </w:rPr>
        <w:t>项至第</w:t>
      </w:r>
      <w:r>
        <w:rPr>
          <w:color w:val="auto"/>
          <w:sz w:val="21"/>
          <w:szCs w:val="21"/>
        </w:rPr>
        <w:t>3.5.5</w:t>
      </w:r>
      <w:r>
        <w:rPr>
          <w:rFonts w:hint="eastAsia" w:cs="宋体"/>
          <w:color w:val="auto"/>
          <w:sz w:val="21"/>
          <w:szCs w:val="21"/>
        </w:rPr>
        <w:t>项规定的有关证明和证件的原件，以便核验。评标委员会依据本章第</w:t>
      </w:r>
      <w:r>
        <w:rPr>
          <w:color w:val="auto"/>
          <w:sz w:val="21"/>
          <w:szCs w:val="21"/>
        </w:rPr>
        <w:t>2.1</w:t>
      </w:r>
      <w:r>
        <w:rPr>
          <w:rFonts w:hint="eastAsia" w:cs="宋体"/>
          <w:color w:val="auto"/>
          <w:sz w:val="21"/>
          <w:szCs w:val="21"/>
        </w:rPr>
        <w:t>款规定的标准对投标文件第一个信封（商务及技术文件）进行初步评审。有一项不符合评审标准的，评标委员会应否决其投标。</w:t>
      </w:r>
    </w:p>
    <w:p>
      <w:pPr>
        <w:pStyle w:val="50"/>
        <w:spacing w:line="360" w:lineRule="auto"/>
        <w:rPr>
          <w:rFonts w:cs="Times New Roman"/>
          <w:b/>
          <w:bCs/>
          <w:color w:val="auto"/>
          <w:sz w:val="21"/>
          <w:szCs w:val="21"/>
        </w:rPr>
      </w:pPr>
      <w:r>
        <w:rPr>
          <w:b/>
          <w:bCs/>
          <w:color w:val="auto"/>
          <w:sz w:val="21"/>
          <w:szCs w:val="21"/>
        </w:rPr>
        <w:t xml:space="preserve">3.2 </w:t>
      </w:r>
      <w:r>
        <w:rPr>
          <w:rFonts w:hint="eastAsia" w:cs="宋体"/>
          <w:b/>
          <w:bCs/>
          <w:color w:val="auto"/>
          <w:sz w:val="21"/>
          <w:szCs w:val="21"/>
        </w:rPr>
        <w:t>第一个信封详细评审</w:t>
      </w:r>
    </w:p>
    <w:p>
      <w:pPr>
        <w:pStyle w:val="50"/>
        <w:spacing w:line="360" w:lineRule="auto"/>
        <w:ind w:firstLine="420" w:firstLineChars="200"/>
        <w:rPr>
          <w:rFonts w:cs="Times New Roman"/>
          <w:color w:val="auto"/>
          <w:sz w:val="21"/>
          <w:szCs w:val="21"/>
        </w:rPr>
      </w:pPr>
      <w:r>
        <w:rPr>
          <w:color w:val="auto"/>
          <w:sz w:val="21"/>
          <w:szCs w:val="21"/>
        </w:rPr>
        <w:t xml:space="preserve">3.2.1 </w:t>
      </w:r>
      <w:r>
        <w:rPr>
          <w:rFonts w:hint="eastAsia" w:cs="宋体"/>
          <w:color w:val="auto"/>
          <w:sz w:val="21"/>
          <w:szCs w:val="21"/>
        </w:rPr>
        <w:t>评标委员会按本章第</w:t>
      </w:r>
      <w:r>
        <w:rPr>
          <w:color w:val="auto"/>
          <w:sz w:val="21"/>
          <w:szCs w:val="21"/>
        </w:rPr>
        <w:t>2.2</w:t>
      </w:r>
      <w:r>
        <w:rPr>
          <w:rFonts w:hint="eastAsia" w:cs="宋体"/>
          <w:color w:val="auto"/>
          <w:sz w:val="21"/>
          <w:szCs w:val="21"/>
        </w:rPr>
        <w:t>款规定的量化因素和分值进行打分，并计算出各投标人的商务及技术得分。</w:t>
      </w:r>
    </w:p>
    <w:p>
      <w:pPr>
        <w:pStyle w:val="50"/>
        <w:spacing w:line="360" w:lineRule="auto"/>
        <w:ind w:firstLine="420" w:firstLineChars="200"/>
        <w:rPr>
          <w:rFonts w:cs="Times New Roman"/>
          <w:color w:val="auto"/>
          <w:sz w:val="21"/>
          <w:szCs w:val="21"/>
        </w:rPr>
      </w:pPr>
      <w:r>
        <w:rPr>
          <w:rFonts w:hint="eastAsia" w:cs="宋体"/>
          <w:color w:val="auto"/>
          <w:sz w:val="21"/>
          <w:szCs w:val="21"/>
        </w:rPr>
        <w:t>（</w:t>
      </w:r>
      <w:r>
        <w:rPr>
          <w:color w:val="auto"/>
          <w:sz w:val="21"/>
          <w:szCs w:val="21"/>
        </w:rPr>
        <w:t>1</w:t>
      </w:r>
      <w:r>
        <w:rPr>
          <w:rFonts w:hint="eastAsia" w:cs="宋体"/>
          <w:color w:val="auto"/>
          <w:sz w:val="21"/>
          <w:szCs w:val="21"/>
        </w:rPr>
        <w:t>）按本章第</w:t>
      </w:r>
      <w:r>
        <w:rPr>
          <w:color w:val="auto"/>
          <w:sz w:val="21"/>
          <w:szCs w:val="21"/>
        </w:rPr>
        <w:t>2.2.4</w:t>
      </w:r>
      <w:r>
        <w:rPr>
          <w:rFonts w:hint="eastAsia" w:cs="宋体"/>
          <w:color w:val="auto"/>
          <w:sz w:val="21"/>
          <w:szCs w:val="21"/>
        </w:rPr>
        <w:t>项（</w:t>
      </w:r>
      <w:r>
        <w:rPr>
          <w:color w:val="auto"/>
          <w:sz w:val="21"/>
          <w:szCs w:val="21"/>
        </w:rPr>
        <w:t>1</w:t>
      </w:r>
      <w:r>
        <w:rPr>
          <w:rFonts w:hint="eastAsia" w:cs="宋体"/>
          <w:color w:val="auto"/>
          <w:sz w:val="21"/>
          <w:szCs w:val="21"/>
        </w:rPr>
        <w:t>）目规定的评审因素和分值对技术建议书部分计算出得分</w:t>
      </w:r>
      <w:r>
        <w:rPr>
          <w:color w:val="auto"/>
          <w:sz w:val="21"/>
          <w:szCs w:val="21"/>
        </w:rPr>
        <w:t>A</w:t>
      </w:r>
      <w:r>
        <w:rPr>
          <w:rFonts w:hint="eastAsia" w:cs="宋体"/>
          <w:color w:val="auto"/>
          <w:sz w:val="21"/>
          <w:szCs w:val="21"/>
        </w:rPr>
        <w:t>；</w:t>
      </w:r>
    </w:p>
    <w:p>
      <w:pPr>
        <w:pStyle w:val="50"/>
        <w:spacing w:line="360" w:lineRule="auto"/>
        <w:ind w:firstLine="420" w:firstLineChars="200"/>
        <w:rPr>
          <w:rFonts w:cs="Times New Roman"/>
          <w:color w:val="auto"/>
          <w:sz w:val="21"/>
          <w:szCs w:val="21"/>
        </w:rPr>
      </w:pPr>
      <w:r>
        <w:rPr>
          <w:rFonts w:hint="eastAsia" w:cs="宋体"/>
          <w:color w:val="auto"/>
          <w:sz w:val="21"/>
          <w:szCs w:val="21"/>
        </w:rPr>
        <w:t>（</w:t>
      </w:r>
      <w:r>
        <w:rPr>
          <w:color w:val="auto"/>
          <w:sz w:val="21"/>
          <w:szCs w:val="21"/>
        </w:rPr>
        <w:t>2</w:t>
      </w:r>
      <w:r>
        <w:rPr>
          <w:rFonts w:hint="eastAsia" w:cs="宋体"/>
          <w:color w:val="auto"/>
          <w:sz w:val="21"/>
          <w:szCs w:val="21"/>
        </w:rPr>
        <w:t>）按本章第</w:t>
      </w:r>
      <w:r>
        <w:rPr>
          <w:color w:val="auto"/>
          <w:sz w:val="21"/>
          <w:szCs w:val="21"/>
        </w:rPr>
        <w:t>2.2.4</w:t>
      </w:r>
      <w:r>
        <w:rPr>
          <w:rFonts w:hint="eastAsia" w:cs="宋体"/>
          <w:color w:val="auto"/>
          <w:sz w:val="21"/>
          <w:szCs w:val="21"/>
        </w:rPr>
        <w:t>项（</w:t>
      </w:r>
      <w:r>
        <w:rPr>
          <w:color w:val="auto"/>
          <w:sz w:val="21"/>
          <w:szCs w:val="21"/>
        </w:rPr>
        <w:t>2</w:t>
      </w:r>
      <w:r>
        <w:rPr>
          <w:rFonts w:hint="eastAsia" w:cs="宋体"/>
          <w:color w:val="auto"/>
          <w:sz w:val="21"/>
          <w:szCs w:val="21"/>
        </w:rPr>
        <w:t>）目规定的评审因素和分值对主要人员部分计算出得分</w:t>
      </w:r>
      <w:r>
        <w:rPr>
          <w:color w:val="auto"/>
          <w:sz w:val="21"/>
          <w:szCs w:val="21"/>
        </w:rPr>
        <w:t>B</w:t>
      </w:r>
      <w:r>
        <w:rPr>
          <w:rFonts w:hint="eastAsia" w:cs="宋体"/>
          <w:color w:val="auto"/>
          <w:sz w:val="21"/>
          <w:szCs w:val="21"/>
        </w:rPr>
        <w:t>；</w:t>
      </w:r>
    </w:p>
    <w:p>
      <w:pPr>
        <w:pStyle w:val="50"/>
        <w:spacing w:line="360" w:lineRule="auto"/>
        <w:ind w:firstLine="420" w:firstLineChars="200"/>
        <w:rPr>
          <w:rFonts w:cs="Times New Roman"/>
          <w:color w:val="auto"/>
          <w:sz w:val="21"/>
          <w:szCs w:val="21"/>
        </w:rPr>
      </w:pPr>
      <w:r>
        <w:rPr>
          <w:rFonts w:hint="eastAsia" w:cs="宋体"/>
          <w:color w:val="auto"/>
          <w:sz w:val="21"/>
          <w:szCs w:val="21"/>
        </w:rPr>
        <w:t>（</w:t>
      </w:r>
      <w:r>
        <w:rPr>
          <w:color w:val="auto"/>
          <w:sz w:val="21"/>
          <w:szCs w:val="21"/>
        </w:rPr>
        <w:t>3</w:t>
      </w:r>
      <w:r>
        <w:rPr>
          <w:rFonts w:hint="eastAsia" w:cs="宋体"/>
          <w:color w:val="auto"/>
          <w:sz w:val="21"/>
          <w:szCs w:val="21"/>
        </w:rPr>
        <w:t>）按本章第</w:t>
      </w:r>
      <w:r>
        <w:rPr>
          <w:color w:val="auto"/>
          <w:sz w:val="21"/>
          <w:szCs w:val="21"/>
        </w:rPr>
        <w:t>2.2.4</w:t>
      </w:r>
      <w:r>
        <w:rPr>
          <w:rFonts w:hint="eastAsia" w:cs="宋体"/>
          <w:color w:val="auto"/>
          <w:sz w:val="21"/>
          <w:szCs w:val="21"/>
        </w:rPr>
        <w:t>项（</w:t>
      </w:r>
      <w:r>
        <w:rPr>
          <w:color w:val="auto"/>
          <w:sz w:val="21"/>
          <w:szCs w:val="21"/>
        </w:rPr>
        <w:t>4</w:t>
      </w:r>
      <w:r>
        <w:rPr>
          <w:rFonts w:hint="eastAsia" w:cs="宋体"/>
          <w:color w:val="auto"/>
          <w:sz w:val="21"/>
          <w:szCs w:val="21"/>
        </w:rPr>
        <w:t>）目规定的评审因素和分值对其他部分计算出得分</w:t>
      </w:r>
      <w:r>
        <w:rPr>
          <w:color w:val="auto"/>
          <w:sz w:val="21"/>
          <w:szCs w:val="21"/>
        </w:rPr>
        <w:t>D</w:t>
      </w:r>
      <w:r>
        <w:rPr>
          <w:rFonts w:hint="eastAsia" w:cs="宋体"/>
          <w:color w:val="auto"/>
          <w:sz w:val="21"/>
          <w:szCs w:val="21"/>
        </w:rPr>
        <w:t>；</w:t>
      </w:r>
    </w:p>
    <w:p>
      <w:pPr>
        <w:pStyle w:val="50"/>
        <w:spacing w:line="360" w:lineRule="auto"/>
        <w:ind w:firstLine="420" w:firstLineChars="200"/>
        <w:rPr>
          <w:rFonts w:cs="Times New Roman"/>
          <w:color w:val="auto"/>
          <w:sz w:val="21"/>
          <w:szCs w:val="21"/>
        </w:rPr>
      </w:pPr>
      <w:r>
        <w:rPr>
          <w:color w:val="auto"/>
          <w:sz w:val="21"/>
          <w:szCs w:val="21"/>
        </w:rPr>
        <w:t xml:space="preserve">3.2.2 </w:t>
      </w:r>
      <w:r>
        <w:rPr>
          <w:rFonts w:hint="eastAsia" w:cs="宋体"/>
          <w:color w:val="auto"/>
          <w:sz w:val="21"/>
          <w:szCs w:val="21"/>
        </w:rPr>
        <w:t>投标人的商务及技术得分分值计算保留小数点后两位，小数点后第三位“四舍五入”。</w:t>
      </w:r>
    </w:p>
    <w:p>
      <w:pPr>
        <w:pStyle w:val="50"/>
        <w:spacing w:line="360" w:lineRule="auto"/>
        <w:ind w:firstLine="420" w:firstLineChars="200"/>
        <w:rPr>
          <w:rFonts w:cs="Times New Roman"/>
          <w:color w:val="auto"/>
          <w:sz w:val="21"/>
          <w:szCs w:val="21"/>
        </w:rPr>
      </w:pPr>
      <w:r>
        <w:rPr>
          <w:color w:val="auto"/>
          <w:sz w:val="21"/>
          <w:szCs w:val="21"/>
        </w:rPr>
        <w:t xml:space="preserve">3.2.3 </w:t>
      </w:r>
      <w:r>
        <w:rPr>
          <w:rFonts w:hint="eastAsia" w:cs="宋体"/>
          <w:color w:val="auto"/>
          <w:sz w:val="21"/>
          <w:szCs w:val="21"/>
        </w:rPr>
        <w:t>投标人的商务和技术得分</w:t>
      </w:r>
      <w:r>
        <w:rPr>
          <w:color w:val="auto"/>
          <w:sz w:val="21"/>
          <w:szCs w:val="21"/>
        </w:rPr>
        <w:t>=A+B+D</w:t>
      </w:r>
      <w:r>
        <w:rPr>
          <w:rFonts w:hint="eastAsia" w:cs="宋体"/>
          <w:color w:val="auto"/>
          <w:sz w:val="21"/>
          <w:szCs w:val="21"/>
        </w:rPr>
        <w:t>。</w:t>
      </w:r>
    </w:p>
    <w:p>
      <w:pPr>
        <w:pStyle w:val="50"/>
        <w:spacing w:line="360" w:lineRule="auto"/>
        <w:rPr>
          <w:rFonts w:cs="Times New Roman"/>
          <w:b/>
          <w:bCs/>
          <w:color w:val="auto"/>
          <w:sz w:val="21"/>
          <w:szCs w:val="21"/>
        </w:rPr>
      </w:pPr>
      <w:r>
        <w:rPr>
          <w:b/>
          <w:bCs/>
          <w:color w:val="auto"/>
          <w:sz w:val="21"/>
          <w:szCs w:val="21"/>
        </w:rPr>
        <w:t xml:space="preserve">3.3 </w:t>
      </w:r>
      <w:r>
        <w:rPr>
          <w:rFonts w:hint="eastAsia" w:cs="宋体"/>
          <w:b/>
          <w:bCs/>
          <w:color w:val="auto"/>
          <w:sz w:val="21"/>
          <w:szCs w:val="21"/>
        </w:rPr>
        <w:t>第二个信封开标</w:t>
      </w:r>
    </w:p>
    <w:p>
      <w:pPr>
        <w:pStyle w:val="50"/>
        <w:spacing w:line="360" w:lineRule="auto"/>
        <w:ind w:firstLine="420" w:firstLineChars="200"/>
        <w:rPr>
          <w:rFonts w:cs="Times New Roman"/>
          <w:color w:val="auto"/>
          <w:sz w:val="21"/>
          <w:szCs w:val="21"/>
        </w:rPr>
      </w:pPr>
      <w:r>
        <w:rPr>
          <w:rFonts w:hint="eastAsia" w:cs="宋体"/>
          <w:color w:val="auto"/>
          <w:sz w:val="21"/>
          <w:szCs w:val="21"/>
        </w:rPr>
        <w:t>第一个信封（商务及技术文件）评审结束后，招标人将按照第二章“投标人须知”第</w:t>
      </w:r>
      <w:r>
        <w:rPr>
          <w:color w:val="auto"/>
          <w:sz w:val="21"/>
          <w:szCs w:val="21"/>
        </w:rPr>
        <w:t>5.1</w:t>
      </w:r>
      <w:r>
        <w:rPr>
          <w:rFonts w:hint="eastAsia" w:cs="宋体"/>
          <w:color w:val="auto"/>
          <w:sz w:val="21"/>
          <w:szCs w:val="21"/>
        </w:rPr>
        <w:t>款规定的时间和地点对通过投标文件第一个信封（商务及技术文件）评审的投标文件第二个信封（报价文件）进行开标。</w:t>
      </w:r>
    </w:p>
    <w:p>
      <w:pPr>
        <w:pStyle w:val="50"/>
        <w:spacing w:line="360" w:lineRule="auto"/>
        <w:rPr>
          <w:rFonts w:cs="Times New Roman"/>
          <w:b/>
          <w:bCs/>
          <w:color w:val="auto"/>
          <w:sz w:val="21"/>
          <w:szCs w:val="21"/>
        </w:rPr>
      </w:pPr>
      <w:r>
        <w:rPr>
          <w:b/>
          <w:bCs/>
          <w:color w:val="auto"/>
          <w:sz w:val="21"/>
          <w:szCs w:val="21"/>
        </w:rPr>
        <w:t xml:space="preserve">3.4 </w:t>
      </w:r>
      <w:r>
        <w:rPr>
          <w:rFonts w:hint="eastAsia" w:cs="宋体"/>
          <w:b/>
          <w:bCs/>
          <w:color w:val="auto"/>
          <w:sz w:val="21"/>
          <w:szCs w:val="21"/>
        </w:rPr>
        <w:t>第二个信封初步评审</w:t>
      </w:r>
    </w:p>
    <w:p>
      <w:pPr>
        <w:pStyle w:val="50"/>
        <w:spacing w:line="360" w:lineRule="auto"/>
        <w:ind w:firstLine="420" w:firstLineChars="200"/>
        <w:rPr>
          <w:rFonts w:cs="Times New Roman"/>
          <w:color w:val="auto"/>
          <w:sz w:val="21"/>
          <w:szCs w:val="21"/>
        </w:rPr>
      </w:pPr>
      <w:r>
        <w:rPr>
          <w:color w:val="auto"/>
          <w:sz w:val="21"/>
          <w:szCs w:val="21"/>
        </w:rPr>
        <w:t xml:space="preserve">3.4.1 </w:t>
      </w:r>
      <w:r>
        <w:rPr>
          <w:rFonts w:hint="eastAsia" w:cs="宋体"/>
          <w:color w:val="auto"/>
          <w:sz w:val="21"/>
          <w:szCs w:val="21"/>
        </w:rPr>
        <w:t>评标委员会依据本章第</w:t>
      </w:r>
      <w:r>
        <w:rPr>
          <w:color w:val="auto"/>
          <w:sz w:val="21"/>
          <w:szCs w:val="21"/>
        </w:rPr>
        <w:t>2.1.1</w:t>
      </w:r>
      <w:r>
        <w:rPr>
          <w:rFonts w:hint="eastAsia" w:cs="宋体"/>
          <w:color w:val="auto"/>
          <w:sz w:val="21"/>
          <w:szCs w:val="21"/>
        </w:rPr>
        <w:t>项、第</w:t>
      </w:r>
      <w:r>
        <w:rPr>
          <w:color w:val="auto"/>
          <w:sz w:val="21"/>
          <w:szCs w:val="21"/>
        </w:rPr>
        <w:t>2.1.3</w:t>
      </w:r>
      <w:r>
        <w:rPr>
          <w:rFonts w:hint="eastAsia" w:cs="宋体"/>
          <w:color w:val="auto"/>
          <w:sz w:val="21"/>
          <w:szCs w:val="21"/>
        </w:rPr>
        <w:t>项规定的评审标准对投标文件第二个信封（报价文件）进行初步评审。有一项不符合评审标准的，评标委员会应否决其投标。</w:t>
      </w:r>
    </w:p>
    <w:p>
      <w:pPr>
        <w:pStyle w:val="50"/>
        <w:spacing w:line="360" w:lineRule="auto"/>
        <w:ind w:firstLine="420" w:firstLineChars="200"/>
        <w:rPr>
          <w:rFonts w:cs="Times New Roman"/>
          <w:color w:val="auto"/>
          <w:sz w:val="21"/>
          <w:szCs w:val="21"/>
        </w:rPr>
      </w:pPr>
      <w:r>
        <w:rPr>
          <w:color w:val="auto"/>
          <w:sz w:val="21"/>
          <w:szCs w:val="21"/>
        </w:rPr>
        <w:t xml:space="preserve">3.4.2 </w:t>
      </w:r>
      <w:r>
        <w:rPr>
          <w:rFonts w:hint="eastAsia" w:cs="宋体"/>
          <w:color w:val="auto"/>
          <w:sz w:val="21"/>
          <w:szCs w:val="21"/>
        </w:rPr>
        <w:t>投标报价有算数错误的，评标委员会按以下原则对投标报价进行修正，修正的价格经投标人书面确认后具有约束力。投标人不接受修正价格的，评标委员会应否决其投标。</w:t>
      </w:r>
    </w:p>
    <w:p>
      <w:pPr>
        <w:pStyle w:val="50"/>
        <w:spacing w:line="360" w:lineRule="auto"/>
        <w:ind w:firstLine="420" w:firstLineChars="200"/>
        <w:rPr>
          <w:rFonts w:cs="Times New Roman"/>
          <w:color w:val="auto"/>
          <w:sz w:val="21"/>
          <w:szCs w:val="21"/>
        </w:rPr>
      </w:pPr>
      <w:r>
        <w:rPr>
          <w:rFonts w:hint="eastAsia" w:cs="宋体"/>
          <w:color w:val="auto"/>
          <w:sz w:val="21"/>
          <w:szCs w:val="21"/>
        </w:rPr>
        <w:t>（</w:t>
      </w:r>
      <w:r>
        <w:rPr>
          <w:color w:val="auto"/>
          <w:sz w:val="21"/>
          <w:szCs w:val="21"/>
        </w:rPr>
        <w:t>1</w:t>
      </w:r>
      <w:r>
        <w:rPr>
          <w:rFonts w:hint="eastAsia" w:cs="宋体"/>
          <w:color w:val="auto"/>
          <w:sz w:val="21"/>
          <w:szCs w:val="21"/>
        </w:rPr>
        <w:t>）投标文件中的大写金额与小写金额不一致的，以大写金额为准；</w:t>
      </w:r>
    </w:p>
    <w:p>
      <w:pPr>
        <w:pStyle w:val="50"/>
        <w:spacing w:line="360" w:lineRule="auto"/>
        <w:ind w:firstLine="420" w:firstLineChars="200"/>
        <w:rPr>
          <w:rFonts w:cs="Times New Roman"/>
          <w:color w:val="auto"/>
          <w:sz w:val="21"/>
          <w:szCs w:val="21"/>
        </w:rPr>
      </w:pPr>
      <w:r>
        <w:rPr>
          <w:rFonts w:hint="eastAsia" w:cs="宋体"/>
          <w:color w:val="auto"/>
          <w:sz w:val="21"/>
          <w:szCs w:val="21"/>
        </w:rPr>
        <w:t>（</w:t>
      </w:r>
      <w:r>
        <w:rPr>
          <w:color w:val="auto"/>
          <w:sz w:val="21"/>
          <w:szCs w:val="21"/>
        </w:rPr>
        <w:t>2</w:t>
      </w:r>
      <w:r>
        <w:rPr>
          <w:rFonts w:hint="eastAsia" w:cs="宋体"/>
          <w:color w:val="auto"/>
          <w:sz w:val="21"/>
          <w:szCs w:val="21"/>
        </w:rPr>
        <w:t>）总价金额与依据单价计算出的结果不一致的，以单价金额为准修正总价，但单价金额小数点有明显的错误的除外；</w:t>
      </w:r>
    </w:p>
    <w:p>
      <w:pPr>
        <w:pStyle w:val="50"/>
        <w:spacing w:line="360" w:lineRule="auto"/>
        <w:ind w:firstLine="420" w:firstLineChars="200"/>
        <w:rPr>
          <w:rFonts w:cs="Times New Roman"/>
          <w:color w:val="auto"/>
          <w:sz w:val="21"/>
          <w:szCs w:val="21"/>
        </w:rPr>
      </w:pPr>
      <w:r>
        <w:rPr>
          <w:rFonts w:hint="eastAsia" w:cs="宋体"/>
          <w:color w:val="auto"/>
          <w:sz w:val="21"/>
          <w:szCs w:val="21"/>
        </w:rPr>
        <w:t>（</w:t>
      </w:r>
      <w:r>
        <w:rPr>
          <w:color w:val="auto"/>
          <w:sz w:val="21"/>
          <w:szCs w:val="21"/>
        </w:rPr>
        <w:t>3</w:t>
      </w:r>
      <w:r>
        <w:rPr>
          <w:rFonts w:hint="eastAsia" w:cs="宋体"/>
          <w:color w:val="auto"/>
          <w:sz w:val="21"/>
          <w:szCs w:val="21"/>
        </w:rPr>
        <w:t>）当单价与数量相乘不等于合价时，以单价计算为准，如果单价有明显的小数点位置差错，应以标出的合价为准，同时对单价予以修正；</w:t>
      </w:r>
    </w:p>
    <w:p>
      <w:pPr>
        <w:pStyle w:val="50"/>
        <w:spacing w:line="360" w:lineRule="auto"/>
        <w:ind w:firstLine="420" w:firstLineChars="200"/>
        <w:rPr>
          <w:rFonts w:cs="Times New Roman"/>
          <w:color w:val="auto"/>
          <w:sz w:val="21"/>
          <w:szCs w:val="21"/>
        </w:rPr>
      </w:pPr>
      <w:r>
        <w:rPr>
          <w:rFonts w:hint="eastAsia" w:cs="宋体"/>
          <w:color w:val="auto"/>
          <w:sz w:val="21"/>
          <w:szCs w:val="21"/>
        </w:rPr>
        <w:t>（</w:t>
      </w:r>
      <w:r>
        <w:rPr>
          <w:color w:val="auto"/>
          <w:sz w:val="21"/>
          <w:szCs w:val="21"/>
        </w:rPr>
        <w:t>4</w:t>
      </w:r>
      <w:r>
        <w:rPr>
          <w:rFonts w:hint="eastAsia" w:cs="宋体"/>
          <w:color w:val="auto"/>
          <w:sz w:val="21"/>
          <w:szCs w:val="21"/>
        </w:rPr>
        <w:t>）当各子目的合价累计不等于总价时，应以各子目合价累计数为准，修正总价。</w:t>
      </w:r>
    </w:p>
    <w:p>
      <w:pPr>
        <w:pStyle w:val="50"/>
        <w:spacing w:line="360" w:lineRule="auto"/>
        <w:ind w:firstLine="420" w:firstLineChars="200"/>
        <w:rPr>
          <w:rFonts w:cs="Times New Roman"/>
          <w:color w:val="auto"/>
          <w:sz w:val="21"/>
          <w:szCs w:val="21"/>
        </w:rPr>
      </w:pPr>
      <w:r>
        <w:rPr>
          <w:color w:val="auto"/>
          <w:sz w:val="21"/>
          <w:szCs w:val="21"/>
        </w:rPr>
        <w:t xml:space="preserve">3.4.3 </w:t>
      </w:r>
      <w:r>
        <w:rPr>
          <w:rFonts w:hint="eastAsia" w:cs="宋体"/>
          <w:color w:val="auto"/>
          <w:sz w:val="21"/>
          <w:szCs w:val="21"/>
        </w:rPr>
        <w:t>修正后的最终投标报价若超过最高投标限价（如有），评标委员会应否决其投标。</w:t>
      </w:r>
    </w:p>
    <w:p>
      <w:pPr>
        <w:pStyle w:val="50"/>
        <w:spacing w:line="360" w:lineRule="auto"/>
        <w:ind w:firstLine="420" w:firstLineChars="200"/>
        <w:rPr>
          <w:rFonts w:cs="Times New Roman"/>
          <w:color w:val="auto"/>
          <w:sz w:val="21"/>
          <w:szCs w:val="21"/>
        </w:rPr>
      </w:pPr>
      <w:r>
        <w:rPr>
          <w:color w:val="auto"/>
          <w:sz w:val="21"/>
          <w:szCs w:val="21"/>
        </w:rPr>
        <w:t xml:space="preserve">3.4.4 </w:t>
      </w:r>
      <w:r>
        <w:rPr>
          <w:rFonts w:hint="eastAsia" w:cs="宋体"/>
          <w:color w:val="auto"/>
          <w:sz w:val="21"/>
          <w:szCs w:val="21"/>
        </w:rPr>
        <w:t>修正后的最终投标报价仅作为签订合同的一个依据，不参与评标价得分的计算。</w:t>
      </w:r>
    </w:p>
    <w:p>
      <w:pPr>
        <w:pStyle w:val="50"/>
        <w:spacing w:line="360" w:lineRule="auto"/>
        <w:rPr>
          <w:rFonts w:cs="Times New Roman"/>
          <w:b/>
          <w:bCs/>
          <w:color w:val="auto"/>
          <w:sz w:val="21"/>
          <w:szCs w:val="21"/>
        </w:rPr>
      </w:pPr>
      <w:r>
        <w:rPr>
          <w:b/>
          <w:bCs/>
          <w:color w:val="auto"/>
          <w:sz w:val="21"/>
          <w:szCs w:val="21"/>
        </w:rPr>
        <w:t xml:space="preserve">3.5 </w:t>
      </w:r>
      <w:r>
        <w:rPr>
          <w:rFonts w:hint="eastAsia" w:cs="宋体"/>
          <w:b/>
          <w:bCs/>
          <w:color w:val="auto"/>
          <w:sz w:val="21"/>
          <w:szCs w:val="21"/>
        </w:rPr>
        <w:t>第二个信封详细评审</w:t>
      </w:r>
    </w:p>
    <w:p>
      <w:pPr>
        <w:pStyle w:val="50"/>
        <w:spacing w:line="360" w:lineRule="auto"/>
        <w:ind w:firstLine="420" w:firstLineChars="200"/>
        <w:rPr>
          <w:rFonts w:cs="Times New Roman"/>
          <w:color w:val="auto"/>
          <w:sz w:val="21"/>
          <w:szCs w:val="21"/>
        </w:rPr>
      </w:pPr>
      <w:r>
        <w:rPr>
          <w:color w:val="auto"/>
          <w:sz w:val="21"/>
          <w:szCs w:val="21"/>
        </w:rPr>
        <w:t xml:space="preserve">3.5.1 </w:t>
      </w:r>
      <w:r>
        <w:rPr>
          <w:rFonts w:hint="eastAsia" w:cs="宋体"/>
          <w:color w:val="auto"/>
          <w:sz w:val="21"/>
          <w:szCs w:val="21"/>
        </w:rPr>
        <w:t>评标委员会按本章第</w:t>
      </w:r>
      <w:r>
        <w:rPr>
          <w:color w:val="auto"/>
          <w:sz w:val="21"/>
          <w:szCs w:val="21"/>
        </w:rPr>
        <w:t>2.2.4</w:t>
      </w:r>
      <w:r>
        <w:rPr>
          <w:rFonts w:hint="eastAsia" w:cs="宋体"/>
          <w:color w:val="auto"/>
          <w:sz w:val="21"/>
          <w:szCs w:val="21"/>
        </w:rPr>
        <w:t>项（</w:t>
      </w:r>
      <w:r>
        <w:rPr>
          <w:color w:val="auto"/>
          <w:sz w:val="21"/>
          <w:szCs w:val="21"/>
        </w:rPr>
        <w:t>3</w:t>
      </w:r>
      <w:r>
        <w:rPr>
          <w:rFonts w:hint="eastAsia" w:cs="宋体"/>
          <w:color w:val="auto"/>
          <w:sz w:val="21"/>
          <w:szCs w:val="21"/>
        </w:rPr>
        <w:t>）目规定的评审因素和分值对评标价计算出得分</w:t>
      </w:r>
      <w:r>
        <w:rPr>
          <w:color w:val="auto"/>
          <w:sz w:val="21"/>
          <w:szCs w:val="21"/>
        </w:rPr>
        <w:t>C</w:t>
      </w:r>
      <w:r>
        <w:rPr>
          <w:rFonts w:hint="eastAsia" w:cs="宋体"/>
          <w:color w:val="auto"/>
          <w:sz w:val="21"/>
          <w:szCs w:val="21"/>
        </w:rPr>
        <w:t>。评标价得分分值计算保留小数点后两位，小数点后第三位“四舍五入”。</w:t>
      </w:r>
    </w:p>
    <w:p>
      <w:pPr>
        <w:pStyle w:val="50"/>
        <w:spacing w:line="360" w:lineRule="auto"/>
        <w:ind w:firstLine="420" w:firstLineChars="200"/>
        <w:rPr>
          <w:rFonts w:cs="Times New Roman"/>
          <w:color w:val="auto"/>
          <w:sz w:val="21"/>
          <w:szCs w:val="21"/>
        </w:rPr>
      </w:pPr>
      <w:r>
        <w:rPr>
          <w:color w:val="auto"/>
          <w:sz w:val="21"/>
          <w:szCs w:val="21"/>
        </w:rPr>
        <w:t xml:space="preserve">3.5.2 </w:t>
      </w:r>
      <w:r>
        <w:rPr>
          <w:rFonts w:hint="eastAsia" w:cs="宋体"/>
          <w:color w:val="auto"/>
          <w:sz w:val="21"/>
          <w:szCs w:val="21"/>
        </w:rPr>
        <w:t>投标人综合得分</w:t>
      </w:r>
      <w:r>
        <w:rPr>
          <w:color w:val="auto"/>
          <w:sz w:val="21"/>
          <w:szCs w:val="21"/>
        </w:rPr>
        <w:t>=</w:t>
      </w:r>
      <w:r>
        <w:rPr>
          <w:rFonts w:hint="eastAsia" w:cs="宋体"/>
          <w:color w:val="auto"/>
          <w:sz w:val="21"/>
          <w:szCs w:val="21"/>
        </w:rPr>
        <w:t>投标人的商务和技术得分</w:t>
      </w:r>
      <w:r>
        <w:rPr>
          <w:color w:val="auto"/>
          <w:sz w:val="21"/>
          <w:szCs w:val="21"/>
        </w:rPr>
        <w:t>+C</w:t>
      </w:r>
      <w:r>
        <w:rPr>
          <w:rFonts w:hint="eastAsia" w:cs="宋体"/>
          <w:color w:val="auto"/>
          <w:sz w:val="21"/>
          <w:szCs w:val="21"/>
        </w:rPr>
        <w:t>。</w:t>
      </w:r>
    </w:p>
    <w:p>
      <w:pPr>
        <w:pStyle w:val="50"/>
        <w:spacing w:line="360" w:lineRule="auto"/>
        <w:ind w:firstLine="420" w:firstLineChars="200"/>
        <w:rPr>
          <w:rFonts w:cs="Times New Roman"/>
          <w:color w:val="auto"/>
          <w:sz w:val="21"/>
          <w:szCs w:val="21"/>
        </w:rPr>
      </w:pPr>
      <w:r>
        <w:rPr>
          <w:color w:val="auto"/>
          <w:sz w:val="21"/>
          <w:szCs w:val="21"/>
        </w:rPr>
        <w:t xml:space="preserve">3.5.3 </w:t>
      </w:r>
      <w:r>
        <w:rPr>
          <w:rFonts w:hint="eastAsia" w:cs="宋体"/>
          <w:color w:val="auto"/>
          <w:sz w:val="21"/>
          <w:szCs w:val="21"/>
        </w:rPr>
        <w:t>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pPr>
        <w:pStyle w:val="50"/>
        <w:spacing w:line="360" w:lineRule="auto"/>
        <w:rPr>
          <w:rFonts w:cs="Times New Roman"/>
          <w:b/>
          <w:bCs/>
          <w:color w:val="auto"/>
          <w:sz w:val="21"/>
          <w:szCs w:val="21"/>
        </w:rPr>
      </w:pPr>
      <w:r>
        <w:rPr>
          <w:b/>
          <w:bCs/>
          <w:color w:val="auto"/>
          <w:sz w:val="21"/>
          <w:szCs w:val="21"/>
        </w:rPr>
        <w:t xml:space="preserve">3.6 </w:t>
      </w:r>
      <w:r>
        <w:rPr>
          <w:rFonts w:hint="eastAsia" w:cs="宋体"/>
          <w:b/>
          <w:bCs/>
          <w:color w:val="auto"/>
          <w:sz w:val="21"/>
          <w:szCs w:val="21"/>
        </w:rPr>
        <w:t>投标文件相关信息的核查</w:t>
      </w:r>
    </w:p>
    <w:p>
      <w:pPr>
        <w:pStyle w:val="50"/>
        <w:spacing w:line="360" w:lineRule="auto"/>
        <w:ind w:firstLine="420" w:firstLineChars="200"/>
        <w:rPr>
          <w:rFonts w:cs="Times New Roman"/>
          <w:color w:val="auto"/>
          <w:sz w:val="21"/>
          <w:szCs w:val="21"/>
        </w:rPr>
      </w:pPr>
      <w:r>
        <w:rPr>
          <w:color w:val="auto"/>
          <w:sz w:val="21"/>
          <w:szCs w:val="21"/>
        </w:rPr>
        <w:t xml:space="preserve">3.6.1 </w:t>
      </w:r>
      <w:r>
        <w:rPr>
          <w:rFonts w:hint="eastAsia" w:cs="宋体"/>
          <w:color w:val="auto"/>
          <w:sz w:val="21"/>
          <w:szCs w:val="21"/>
        </w:rPr>
        <w:t>在评标过程中，评标委员会应查询交通运输主管部门“公路建设市场信用信息管理系统”，对投标人的资质、业绩、主要人员资历和目前在岗情况、信用等级等信息进行核实，若投标文件载明的信息与交通运输主管部门“公路建设市场信用信息管理系统”发布的信息不符，使得投保人的资格条件不符合招标文件规定的，评标委员会应否决其投标。</w:t>
      </w:r>
    </w:p>
    <w:p>
      <w:pPr>
        <w:pStyle w:val="50"/>
        <w:spacing w:line="360" w:lineRule="auto"/>
        <w:ind w:firstLine="420" w:firstLineChars="200"/>
        <w:rPr>
          <w:rFonts w:cs="Times New Roman"/>
          <w:color w:val="auto"/>
          <w:sz w:val="21"/>
          <w:szCs w:val="21"/>
        </w:rPr>
      </w:pPr>
      <w:r>
        <w:rPr>
          <w:color w:val="auto"/>
          <w:sz w:val="21"/>
          <w:szCs w:val="21"/>
        </w:rPr>
        <w:t xml:space="preserve">3.6.2 </w:t>
      </w:r>
      <w:r>
        <w:rPr>
          <w:rFonts w:hint="eastAsia" w:cs="宋体"/>
          <w:color w:val="auto"/>
          <w:sz w:val="21"/>
          <w:szCs w:val="21"/>
        </w:rPr>
        <w:t>评标委员会应对在评标过程中发现的投标人与投标人之间、投标人与招标人之间存在的串通投标的情形进行评审和认定。投标人存在串通投标、弄虚作假、行贿等违法行为的，评标委员会应否决其投标。</w:t>
      </w:r>
    </w:p>
    <w:p>
      <w:pPr>
        <w:pStyle w:val="50"/>
        <w:spacing w:line="360" w:lineRule="auto"/>
        <w:ind w:firstLine="420" w:firstLineChars="200"/>
        <w:rPr>
          <w:rFonts w:cs="Times New Roman"/>
          <w:color w:val="auto"/>
          <w:sz w:val="21"/>
          <w:szCs w:val="21"/>
        </w:rPr>
      </w:pPr>
      <w:r>
        <w:rPr>
          <w:rFonts w:hint="eastAsia" w:cs="宋体"/>
          <w:color w:val="auto"/>
          <w:sz w:val="21"/>
          <w:szCs w:val="21"/>
        </w:rPr>
        <w:t>（</w:t>
      </w:r>
      <w:r>
        <w:rPr>
          <w:color w:val="auto"/>
          <w:sz w:val="21"/>
          <w:szCs w:val="21"/>
        </w:rPr>
        <w:t>1</w:t>
      </w:r>
      <w:r>
        <w:rPr>
          <w:rFonts w:hint="eastAsia" w:cs="宋体"/>
          <w:color w:val="auto"/>
          <w:sz w:val="21"/>
          <w:szCs w:val="21"/>
        </w:rPr>
        <w:t>）有下列情形之一的，属于投标人相互串通投标：</w:t>
      </w:r>
    </w:p>
    <w:p>
      <w:pPr>
        <w:pStyle w:val="50"/>
        <w:spacing w:line="360" w:lineRule="auto"/>
        <w:ind w:firstLine="420" w:firstLineChars="200"/>
        <w:rPr>
          <w:rFonts w:cs="Times New Roman"/>
          <w:color w:val="auto"/>
          <w:sz w:val="21"/>
          <w:szCs w:val="21"/>
        </w:rPr>
      </w:pPr>
      <w:r>
        <w:rPr>
          <w:color w:val="auto"/>
          <w:sz w:val="21"/>
          <w:szCs w:val="21"/>
        </w:rPr>
        <w:t>a.</w:t>
      </w:r>
      <w:r>
        <w:rPr>
          <w:rFonts w:hint="eastAsia" w:cs="宋体"/>
          <w:color w:val="auto"/>
          <w:sz w:val="21"/>
          <w:szCs w:val="21"/>
        </w:rPr>
        <w:t>投标人之间协商投标报价等投标文件的实质性内容；</w:t>
      </w:r>
    </w:p>
    <w:p>
      <w:pPr>
        <w:pStyle w:val="50"/>
        <w:spacing w:line="360" w:lineRule="auto"/>
        <w:ind w:firstLine="420" w:firstLineChars="200"/>
        <w:rPr>
          <w:rFonts w:cs="Times New Roman"/>
          <w:color w:val="auto"/>
          <w:sz w:val="21"/>
          <w:szCs w:val="21"/>
        </w:rPr>
      </w:pPr>
      <w:r>
        <w:rPr>
          <w:color w:val="auto"/>
          <w:sz w:val="21"/>
          <w:szCs w:val="21"/>
        </w:rPr>
        <w:t>b.</w:t>
      </w:r>
      <w:r>
        <w:rPr>
          <w:rFonts w:hint="eastAsia" w:cs="宋体"/>
          <w:color w:val="auto"/>
          <w:sz w:val="21"/>
          <w:szCs w:val="21"/>
        </w:rPr>
        <w:t>投标人之间约定中标人；</w:t>
      </w:r>
    </w:p>
    <w:p>
      <w:pPr>
        <w:pStyle w:val="50"/>
        <w:spacing w:line="360" w:lineRule="auto"/>
        <w:ind w:firstLine="420" w:firstLineChars="200"/>
        <w:rPr>
          <w:rFonts w:cs="Times New Roman"/>
          <w:color w:val="auto"/>
          <w:sz w:val="21"/>
          <w:szCs w:val="21"/>
        </w:rPr>
      </w:pPr>
      <w:r>
        <w:rPr>
          <w:color w:val="auto"/>
          <w:sz w:val="21"/>
          <w:szCs w:val="21"/>
        </w:rPr>
        <w:t>c.</w:t>
      </w:r>
      <w:r>
        <w:rPr>
          <w:rFonts w:hint="eastAsia" w:cs="宋体"/>
          <w:color w:val="auto"/>
          <w:sz w:val="21"/>
          <w:szCs w:val="21"/>
        </w:rPr>
        <w:t>投标人之间约定部分投标人放弃投标或中标；</w:t>
      </w:r>
    </w:p>
    <w:p>
      <w:pPr>
        <w:pStyle w:val="50"/>
        <w:spacing w:line="360" w:lineRule="auto"/>
        <w:ind w:firstLine="420" w:firstLineChars="200"/>
        <w:rPr>
          <w:rFonts w:cs="Times New Roman"/>
          <w:color w:val="auto"/>
          <w:sz w:val="21"/>
          <w:szCs w:val="21"/>
        </w:rPr>
      </w:pPr>
      <w:r>
        <w:rPr>
          <w:color w:val="auto"/>
          <w:sz w:val="21"/>
          <w:szCs w:val="21"/>
        </w:rPr>
        <w:t>d.</w:t>
      </w:r>
      <w:r>
        <w:rPr>
          <w:rFonts w:hint="eastAsia" w:cs="宋体"/>
          <w:color w:val="auto"/>
          <w:sz w:val="21"/>
          <w:szCs w:val="21"/>
        </w:rPr>
        <w:t>属于同一集团、协会、商会等组织成员的投标人按照该组织要求协同投标；</w:t>
      </w:r>
    </w:p>
    <w:p>
      <w:pPr>
        <w:pStyle w:val="50"/>
        <w:spacing w:line="360" w:lineRule="auto"/>
        <w:ind w:firstLine="420" w:firstLineChars="200"/>
        <w:rPr>
          <w:rFonts w:cs="Times New Roman"/>
          <w:color w:val="auto"/>
          <w:sz w:val="21"/>
          <w:szCs w:val="21"/>
        </w:rPr>
      </w:pPr>
      <w:r>
        <w:rPr>
          <w:color w:val="auto"/>
          <w:sz w:val="21"/>
          <w:szCs w:val="21"/>
        </w:rPr>
        <w:t>e.</w:t>
      </w:r>
      <w:r>
        <w:rPr>
          <w:rFonts w:hint="eastAsia" w:cs="宋体"/>
          <w:color w:val="auto"/>
          <w:sz w:val="21"/>
          <w:szCs w:val="21"/>
        </w:rPr>
        <w:t>投标人之间为谋取中标或排斥特定投标人而采取的其他联合行动。</w:t>
      </w:r>
    </w:p>
    <w:p>
      <w:pPr>
        <w:pStyle w:val="50"/>
        <w:spacing w:line="360" w:lineRule="auto"/>
        <w:ind w:firstLine="420" w:firstLineChars="200"/>
        <w:rPr>
          <w:rFonts w:cs="Times New Roman"/>
          <w:color w:val="auto"/>
          <w:sz w:val="21"/>
          <w:szCs w:val="21"/>
        </w:rPr>
      </w:pPr>
      <w:r>
        <w:rPr>
          <w:rFonts w:hint="eastAsia" w:cs="宋体"/>
          <w:color w:val="auto"/>
          <w:sz w:val="21"/>
          <w:szCs w:val="21"/>
        </w:rPr>
        <w:t>（</w:t>
      </w:r>
      <w:r>
        <w:rPr>
          <w:color w:val="auto"/>
          <w:sz w:val="21"/>
          <w:szCs w:val="21"/>
        </w:rPr>
        <w:t>2</w:t>
      </w:r>
      <w:r>
        <w:rPr>
          <w:rFonts w:hint="eastAsia" w:cs="宋体"/>
          <w:color w:val="auto"/>
          <w:sz w:val="21"/>
          <w:szCs w:val="21"/>
        </w:rPr>
        <w:t>）有下列情形之一的，视为投标人相互串通投标：</w:t>
      </w:r>
    </w:p>
    <w:p>
      <w:pPr>
        <w:pStyle w:val="50"/>
        <w:spacing w:line="360" w:lineRule="auto"/>
        <w:ind w:firstLine="420" w:firstLineChars="200"/>
        <w:rPr>
          <w:rFonts w:cs="Times New Roman"/>
          <w:color w:val="auto"/>
          <w:sz w:val="21"/>
          <w:szCs w:val="21"/>
        </w:rPr>
      </w:pPr>
      <w:r>
        <w:rPr>
          <w:color w:val="auto"/>
          <w:sz w:val="21"/>
          <w:szCs w:val="21"/>
        </w:rPr>
        <w:t>a.</w:t>
      </w:r>
      <w:r>
        <w:rPr>
          <w:rFonts w:hint="eastAsia" w:cs="宋体"/>
          <w:color w:val="auto"/>
          <w:sz w:val="21"/>
          <w:szCs w:val="21"/>
        </w:rPr>
        <w:t>不同投标人的投标文件由同一单位或个人编制；</w:t>
      </w:r>
    </w:p>
    <w:p>
      <w:pPr>
        <w:pStyle w:val="50"/>
        <w:spacing w:line="360" w:lineRule="auto"/>
        <w:ind w:firstLine="420" w:firstLineChars="200"/>
        <w:rPr>
          <w:rFonts w:cs="Times New Roman"/>
          <w:color w:val="auto"/>
          <w:sz w:val="21"/>
          <w:szCs w:val="21"/>
        </w:rPr>
      </w:pPr>
      <w:r>
        <w:rPr>
          <w:color w:val="auto"/>
          <w:sz w:val="21"/>
          <w:szCs w:val="21"/>
        </w:rPr>
        <w:t>b.</w:t>
      </w:r>
      <w:r>
        <w:rPr>
          <w:rFonts w:hint="eastAsia" w:cs="宋体"/>
          <w:color w:val="auto"/>
          <w:sz w:val="21"/>
          <w:szCs w:val="21"/>
        </w:rPr>
        <w:t>不同投标人委托同一单位或个人办理投标事宜；</w:t>
      </w:r>
    </w:p>
    <w:p>
      <w:pPr>
        <w:pStyle w:val="50"/>
        <w:spacing w:line="360" w:lineRule="auto"/>
        <w:ind w:firstLine="420" w:firstLineChars="200"/>
        <w:rPr>
          <w:rFonts w:cs="Times New Roman"/>
          <w:color w:val="auto"/>
          <w:sz w:val="21"/>
          <w:szCs w:val="21"/>
        </w:rPr>
      </w:pPr>
      <w:r>
        <w:rPr>
          <w:color w:val="auto"/>
          <w:sz w:val="21"/>
          <w:szCs w:val="21"/>
        </w:rPr>
        <w:t>c.</w:t>
      </w:r>
      <w:r>
        <w:rPr>
          <w:rFonts w:hint="eastAsia" w:cs="宋体"/>
          <w:color w:val="auto"/>
          <w:sz w:val="21"/>
          <w:szCs w:val="21"/>
        </w:rPr>
        <w:t>不同投标人的投标文件载明的项目管理成员为同一人；</w:t>
      </w:r>
    </w:p>
    <w:p>
      <w:pPr>
        <w:pStyle w:val="50"/>
        <w:spacing w:line="360" w:lineRule="auto"/>
        <w:ind w:firstLine="420" w:firstLineChars="200"/>
        <w:rPr>
          <w:rFonts w:cs="Times New Roman"/>
          <w:color w:val="auto"/>
          <w:sz w:val="21"/>
          <w:szCs w:val="21"/>
        </w:rPr>
      </w:pPr>
      <w:r>
        <w:rPr>
          <w:color w:val="auto"/>
          <w:sz w:val="21"/>
          <w:szCs w:val="21"/>
        </w:rPr>
        <w:t>d.</w:t>
      </w:r>
      <w:r>
        <w:rPr>
          <w:rFonts w:hint="eastAsia" w:cs="宋体"/>
          <w:color w:val="auto"/>
          <w:sz w:val="21"/>
          <w:szCs w:val="21"/>
        </w:rPr>
        <w:t>不同投标人的投标文件异常一致或投标报价呈规律性差异；</w:t>
      </w:r>
    </w:p>
    <w:p>
      <w:pPr>
        <w:pStyle w:val="50"/>
        <w:spacing w:line="360" w:lineRule="auto"/>
        <w:ind w:firstLine="420" w:firstLineChars="200"/>
        <w:rPr>
          <w:rFonts w:cs="Times New Roman"/>
          <w:color w:val="auto"/>
          <w:sz w:val="21"/>
          <w:szCs w:val="21"/>
        </w:rPr>
      </w:pPr>
      <w:r>
        <w:rPr>
          <w:color w:val="auto"/>
          <w:sz w:val="21"/>
          <w:szCs w:val="21"/>
        </w:rPr>
        <w:t>e.</w:t>
      </w:r>
      <w:r>
        <w:rPr>
          <w:rFonts w:hint="eastAsia" w:cs="宋体"/>
          <w:color w:val="auto"/>
          <w:sz w:val="21"/>
          <w:szCs w:val="21"/>
        </w:rPr>
        <w:t>不同投标人的投标文件相互混装；</w:t>
      </w:r>
    </w:p>
    <w:p>
      <w:pPr>
        <w:pStyle w:val="50"/>
        <w:spacing w:line="360" w:lineRule="auto"/>
        <w:ind w:firstLine="420" w:firstLineChars="200"/>
        <w:rPr>
          <w:rFonts w:cs="Times New Roman"/>
          <w:color w:val="auto"/>
          <w:sz w:val="21"/>
          <w:szCs w:val="21"/>
        </w:rPr>
      </w:pPr>
      <w:r>
        <w:rPr>
          <w:color w:val="auto"/>
          <w:sz w:val="21"/>
          <w:szCs w:val="21"/>
        </w:rPr>
        <w:t xml:space="preserve">f. </w:t>
      </w:r>
      <w:r>
        <w:rPr>
          <w:rFonts w:hint="eastAsia" w:cs="宋体"/>
          <w:color w:val="auto"/>
          <w:sz w:val="21"/>
          <w:szCs w:val="21"/>
        </w:rPr>
        <w:t>不同投标人的投标保证金从同一单位或个人的账户转出。</w:t>
      </w:r>
    </w:p>
    <w:p>
      <w:pPr>
        <w:pStyle w:val="50"/>
        <w:spacing w:line="360" w:lineRule="auto"/>
        <w:ind w:firstLine="420" w:firstLineChars="200"/>
        <w:rPr>
          <w:rFonts w:cs="Times New Roman"/>
          <w:color w:val="auto"/>
          <w:sz w:val="21"/>
          <w:szCs w:val="21"/>
        </w:rPr>
      </w:pPr>
      <w:r>
        <w:rPr>
          <w:rFonts w:hint="eastAsia" w:cs="宋体"/>
          <w:color w:val="auto"/>
          <w:sz w:val="21"/>
          <w:szCs w:val="21"/>
        </w:rPr>
        <w:t>（</w:t>
      </w:r>
      <w:r>
        <w:rPr>
          <w:color w:val="auto"/>
          <w:sz w:val="21"/>
          <w:szCs w:val="21"/>
        </w:rPr>
        <w:t>3</w:t>
      </w:r>
      <w:r>
        <w:rPr>
          <w:rFonts w:hint="eastAsia" w:cs="宋体"/>
          <w:color w:val="auto"/>
          <w:sz w:val="21"/>
          <w:szCs w:val="21"/>
        </w:rPr>
        <w:t>）有下列情形之一的，属于招标人与投标人串通投标：</w:t>
      </w:r>
    </w:p>
    <w:p>
      <w:pPr>
        <w:pStyle w:val="50"/>
        <w:spacing w:line="360" w:lineRule="auto"/>
        <w:ind w:firstLine="420" w:firstLineChars="200"/>
        <w:rPr>
          <w:rFonts w:cs="Times New Roman"/>
          <w:color w:val="auto"/>
          <w:sz w:val="21"/>
          <w:szCs w:val="21"/>
        </w:rPr>
      </w:pPr>
      <w:r>
        <w:rPr>
          <w:color w:val="auto"/>
          <w:sz w:val="21"/>
          <w:szCs w:val="21"/>
        </w:rPr>
        <w:t>a.</w:t>
      </w:r>
      <w:r>
        <w:rPr>
          <w:rFonts w:hint="eastAsia" w:cs="宋体"/>
          <w:color w:val="auto"/>
          <w:sz w:val="21"/>
          <w:szCs w:val="21"/>
        </w:rPr>
        <w:t>招标人在开标前开启投标文件并将有关信息泄露给其他投标人；</w:t>
      </w:r>
    </w:p>
    <w:p>
      <w:pPr>
        <w:pStyle w:val="50"/>
        <w:spacing w:line="360" w:lineRule="auto"/>
        <w:ind w:firstLine="420" w:firstLineChars="200"/>
        <w:rPr>
          <w:rFonts w:cs="Times New Roman"/>
          <w:color w:val="auto"/>
          <w:sz w:val="21"/>
          <w:szCs w:val="21"/>
        </w:rPr>
      </w:pPr>
      <w:r>
        <w:rPr>
          <w:color w:val="auto"/>
          <w:sz w:val="21"/>
          <w:szCs w:val="21"/>
        </w:rPr>
        <w:t>b.</w:t>
      </w:r>
      <w:r>
        <w:rPr>
          <w:rFonts w:hint="eastAsia" w:cs="宋体"/>
          <w:color w:val="auto"/>
          <w:sz w:val="21"/>
          <w:szCs w:val="21"/>
        </w:rPr>
        <w:t>招标人直接或间接向投标人泄露标底、评标委员会成员信息；</w:t>
      </w:r>
    </w:p>
    <w:p>
      <w:pPr>
        <w:pStyle w:val="50"/>
        <w:spacing w:line="360" w:lineRule="auto"/>
        <w:ind w:firstLine="420" w:firstLineChars="200"/>
        <w:rPr>
          <w:rFonts w:cs="Times New Roman"/>
          <w:color w:val="auto"/>
          <w:sz w:val="21"/>
          <w:szCs w:val="21"/>
        </w:rPr>
      </w:pPr>
      <w:r>
        <w:rPr>
          <w:color w:val="auto"/>
          <w:sz w:val="21"/>
          <w:szCs w:val="21"/>
        </w:rPr>
        <w:t>c.</w:t>
      </w:r>
      <w:r>
        <w:rPr>
          <w:rFonts w:hint="eastAsia" w:cs="宋体"/>
          <w:color w:val="auto"/>
          <w:sz w:val="21"/>
          <w:szCs w:val="21"/>
        </w:rPr>
        <w:t>招标人明示或暗示投标人压低或抬高投标报价；</w:t>
      </w:r>
    </w:p>
    <w:p>
      <w:pPr>
        <w:pStyle w:val="50"/>
        <w:spacing w:line="360" w:lineRule="auto"/>
        <w:ind w:firstLine="420" w:firstLineChars="200"/>
        <w:rPr>
          <w:rFonts w:cs="Times New Roman"/>
          <w:color w:val="auto"/>
          <w:sz w:val="21"/>
          <w:szCs w:val="21"/>
        </w:rPr>
      </w:pPr>
      <w:r>
        <w:rPr>
          <w:color w:val="auto"/>
          <w:sz w:val="21"/>
          <w:szCs w:val="21"/>
        </w:rPr>
        <w:t>d.</w:t>
      </w:r>
      <w:r>
        <w:rPr>
          <w:rFonts w:hint="eastAsia" w:cs="宋体"/>
          <w:color w:val="auto"/>
          <w:sz w:val="21"/>
          <w:szCs w:val="21"/>
        </w:rPr>
        <w:t>招标人授意投标人撤换、修改投标文件；</w:t>
      </w:r>
    </w:p>
    <w:p>
      <w:pPr>
        <w:pStyle w:val="50"/>
        <w:spacing w:line="360" w:lineRule="auto"/>
        <w:ind w:firstLine="420" w:firstLineChars="200"/>
        <w:rPr>
          <w:rFonts w:cs="Times New Roman"/>
          <w:color w:val="auto"/>
          <w:sz w:val="21"/>
          <w:szCs w:val="21"/>
        </w:rPr>
      </w:pPr>
      <w:r>
        <w:rPr>
          <w:color w:val="auto"/>
          <w:sz w:val="21"/>
          <w:szCs w:val="21"/>
        </w:rPr>
        <w:t>e.</w:t>
      </w:r>
      <w:r>
        <w:rPr>
          <w:rFonts w:hint="eastAsia" w:cs="宋体"/>
          <w:color w:val="auto"/>
          <w:sz w:val="21"/>
          <w:szCs w:val="21"/>
        </w:rPr>
        <w:t>招标人明示或暗示投标人为特定投标人中标提供方便；</w:t>
      </w:r>
    </w:p>
    <w:p>
      <w:pPr>
        <w:pStyle w:val="50"/>
        <w:spacing w:line="360" w:lineRule="auto"/>
        <w:ind w:firstLine="420" w:firstLineChars="200"/>
        <w:rPr>
          <w:rFonts w:cs="Times New Roman"/>
          <w:color w:val="auto"/>
          <w:sz w:val="21"/>
          <w:szCs w:val="21"/>
        </w:rPr>
      </w:pPr>
      <w:r>
        <w:rPr>
          <w:color w:val="auto"/>
          <w:sz w:val="21"/>
          <w:szCs w:val="21"/>
        </w:rPr>
        <w:t>f.</w:t>
      </w:r>
      <w:r>
        <w:rPr>
          <w:rFonts w:hint="eastAsia" w:cs="宋体"/>
          <w:color w:val="auto"/>
          <w:sz w:val="21"/>
          <w:szCs w:val="21"/>
        </w:rPr>
        <w:t>招标人与投标人为谋求特定投标人中标而采取的其他串通行为。</w:t>
      </w:r>
    </w:p>
    <w:p>
      <w:pPr>
        <w:pStyle w:val="50"/>
        <w:spacing w:line="360" w:lineRule="auto"/>
        <w:ind w:firstLine="420" w:firstLineChars="200"/>
        <w:rPr>
          <w:rFonts w:cs="Times New Roman"/>
          <w:color w:val="auto"/>
          <w:sz w:val="21"/>
          <w:szCs w:val="21"/>
        </w:rPr>
      </w:pPr>
      <w:r>
        <w:rPr>
          <w:rFonts w:hint="eastAsia" w:cs="宋体"/>
          <w:color w:val="auto"/>
          <w:sz w:val="21"/>
          <w:szCs w:val="21"/>
        </w:rPr>
        <w:t>（</w:t>
      </w:r>
      <w:r>
        <w:rPr>
          <w:color w:val="auto"/>
          <w:sz w:val="21"/>
          <w:szCs w:val="21"/>
        </w:rPr>
        <w:t>4</w:t>
      </w:r>
      <w:r>
        <w:rPr>
          <w:rFonts w:hint="eastAsia" w:cs="宋体"/>
          <w:color w:val="auto"/>
          <w:sz w:val="21"/>
          <w:szCs w:val="21"/>
        </w:rPr>
        <w:t>）投标人有下列情形之一的，属于弄虚作假的行为：</w:t>
      </w:r>
    </w:p>
    <w:p>
      <w:pPr>
        <w:pStyle w:val="50"/>
        <w:spacing w:line="360" w:lineRule="auto"/>
        <w:ind w:firstLine="420" w:firstLineChars="200"/>
        <w:rPr>
          <w:rFonts w:cs="Times New Roman"/>
          <w:color w:val="auto"/>
          <w:sz w:val="21"/>
          <w:szCs w:val="21"/>
        </w:rPr>
      </w:pPr>
      <w:r>
        <w:rPr>
          <w:color w:val="auto"/>
          <w:sz w:val="21"/>
          <w:szCs w:val="21"/>
        </w:rPr>
        <w:t>a.</w:t>
      </w:r>
      <w:r>
        <w:rPr>
          <w:rFonts w:hint="eastAsia" w:cs="宋体"/>
          <w:color w:val="auto"/>
          <w:sz w:val="21"/>
          <w:szCs w:val="21"/>
        </w:rPr>
        <w:t>使用通过受让或租借等方式获取的资格、资质证书投标；</w:t>
      </w:r>
    </w:p>
    <w:p>
      <w:pPr>
        <w:pStyle w:val="50"/>
        <w:spacing w:line="360" w:lineRule="auto"/>
        <w:ind w:firstLine="420" w:firstLineChars="200"/>
        <w:rPr>
          <w:rFonts w:cs="Times New Roman"/>
          <w:color w:val="auto"/>
          <w:sz w:val="21"/>
          <w:szCs w:val="21"/>
        </w:rPr>
      </w:pPr>
      <w:r>
        <w:rPr>
          <w:color w:val="auto"/>
          <w:sz w:val="21"/>
          <w:szCs w:val="21"/>
        </w:rPr>
        <w:t>b.</w:t>
      </w:r>
      <w:r>
        <w:rPr>
          <w:rFonts w:hint="eastAsia" w:cs="宋体"/>
          <w:color w:val="auto"/>
          <w:sz w:val="21"/>
          <w:szCs w:val="21"/>
        </w:rPr>
        <w:t>使用伪造、变造的许可证件；</w:t>
      </w:r>
    </w:p>
    <w:p>
      <w:pPr>
        <w:pStyle w:val="50"/>
        <w:spacing w:line="360" w:lineRule="auto"/>
        <w:ind w:firstLine="420" w:firstLineChars="200"/>
        <w:rPr>
          <w:rFonts w:cs="Times New Roman"/>
          <w:color w:val="auto"/>
          <w:sz w:val="21"/>
          <w:szCs w:val="21"/>
        </w:rPr>
      </w:pPr>
      <w:r>
        <w:rPr>
          <w:color w:val="auto"/>
          <w:sz w:val="21"/>
          <w:szCs w:val="21"/>
        </w:rPr>
        <w:t>c.</w:t>
      </w:r>
      <w:r>
        <w:rPr>
          <w:rFonts w:hint="eastAsia" w:cs="宋体"/>
          <w:color w:val="auto"/>
          <w:sz w:val="21"/>
          <w:szCs w:val="21"/>
        </w:rPr>
        <w:t>提供虚假的的业绩；</w:t>
      </w:r>
    </w:p>
    <w:p>
      <w:pPr>
        <w:pStyle w:val="50"/>
        <w:spacing w:line="360" w:lineRule="auto"/>
        <w:ind w:firstLine="420" w:firstLineChars="200"/>
        <w:rPr>
          <w:rFonts w:cs="Times New Roman"/>
          <w:color w:val="auto"/>
          <w:sz w:val="21"/>
          <w:szCs w:val="21"/>
        </w:rPr>
      </w:pPr>
      <w:r>
        <w:rPr>
          <w:color w:val="auto"/>
          <w:sz w:val="21"/>
          <w:szCs w:val="21"/>
        </w:rPr>
        <w:t>d.</w:t>
      </w:r>
      <w:r>
        <w:rPr>
          <w:rFonts w:hint="eastAsia" w:cs="宋体"/>
          <w:color w:val="auto"/>
          <w:sz w:val="21"/>
          <w:szCs w:val="21"/>
        </w:rPr>
        <w:t>提供虚假的项目负责人或主要技术人员简历、劳动关系证明；</w:t>
      </w:r>
    </w:p>
    <w:p>
      <w:pPr>
        <w:pStyle w:val="50"/>
        <w:spacing w:line="360" w:lineRule="auto"/>
        <w:ind w:firstLine="420" w:firstLineChars="200"/>
        <w:rPr>
          <w:rFonts w:cs="Times New Roman"/>
          <w:color w:val="auto"/>
          <w:sz w:val="21"/>
          <w:szCs w:val="21"/>
        </w:rPr>
      </w:pPr>
      <w:r>
        <w:rPr>
          <w:color w:val="auto"/>
          <w:sz w:val="21"/>
          <w:szCs w:val="21"/>
        </w:rPr>
        <w:t>e.</w:t>
      </w:r>
      <w:r>
        <w:rPr>
          <w:rFonts w:hint="eastAsia" w:cs="宋体"/>
          <w:color w:val="auto"/>
          <w:sz w:val="21"/>
          <w:szCs w:val="21"/>
        </w:rPr>
        <w:t>提供虚假的信用状况；</w:t>
      </w:r>
    </w:p>
    <w:p>
      <w:pPr>
        <w:pStyle w:val="50"/>
        <w:spacing w:line="360" w:lineRule="auto"/>
        <w:ind w:firstLine="420" w:firstLineChars="200"/>
        <w:rPr>
          <w:rFonts w:cs="Times New Roman"/>
          <w:color w:val="auto"/>
          <w:sz w:val="21"/>
          <w:szCs w:val="21"/>
        </w:rPr>
      </w:pPr>
      <w:r>
        <w:rPr>
          <w:color w:val="auto"/>
          <w:sz w:val="21"/>
          <w:szCs w:val="21"/>
        </w:rPr>
        <w:t>f.</w:t>
      </w:r>
      <w:r>
        <w:rPr>
          <w:rFonts w:hint="eastAsia" w:cs="宋体"/>
          <w:color w:val="auto"/>
          <w:sz w:val="21"/>
          <w:szCs w:val="21"/>
        </w:rPr>
        <w:t>其他弄虚作假的行为。</w:t>
      </w:r>
    </w:p>
    <w:p>
      <w:pPr>
        <w:pStyle w:val="50"/>
        <w:spacing w:line="360" w:lineRule="auto"/>
        <w:rPr>
          <w:rFonts w:cs="Times New Roman"/>
          <w:b/>
          <w:bCs/>
          <w:color w:val="auto"/>
          <w:sz w:val="21"/>
          <w:szCs w:val="21"/>
        </w:rPr>
      </w:pPr>
      <w:r>
        <w:rPr>
          <w:b/>
          <w:bCs/>
          <w:color w:val="auto"/>
          <w:sz w:val="21"/>
          <w:szCs w:val="21"/>
        </w:rPr>
        <w:t xml:space="preserve">3.7 </w:t>
      </w:r>
      <w:r>
        <w:rPr>
          <w:rFonts w:hint="eastAsia" w:cs="宋体"/>
          <w:b/>
          <w:bCs/>
          <w:color w:val="auto"/>
          <w:sz w:val="21"/>
          <w:szCs w:val="21"/>
        </w:rPr>
        <w:t>投标文件的澄清和说明</w:t>
      </w:r>
    </w:p>
    <w:p>
      <w:pPr>
        <w:pStyle w:val="50"/>
        <w:spacing w:line="360" w:lineRule="auto"/>
        <w:ind w:firstLine="420" w:firstLineChars="200"/>
        <w:rPr>
          <w:rFonts w:cs="Times New Roman"/>
          <w:color w:val="auto"/>
          <w:sz w:val="21"/>
          <w:szCs w:val="21"/>
        </w:rPr>
      </w:pPr>
      <w:r>
        <w:rPr>
          <w:color w:val="auto"/>
          <w:sz w:val="21"/>
          <w:szCs w:val="21"/>
        </w:rPr>
        <w:t xml:space="preserve">3.7.1 </w:t>
      </w:r>
      <w:r>
        <w:rPr>
          <w:rFonts w:hint="eastAsia" w:cs="宋体"/>
          <w:color w:val="auto"/>
          <w:sz w:val="21"/>
          <w:szCs w:val="21"/>
        </w:rPr>
        <w:t>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pPr>
        <w:pStyle w:val="50"/>
        <w:spacing w:line="360" w:lineRule="auto"/>
        <w:ind w:firstLine="420" w:firstLineChars="200"/>
        <w:rPr>
          <w:rFonts w:cs="Times New Roman"/>
          <w:color w:val="auto"/>
          <w:sz w:val="21"/>
          <w:szCs w:val="21"/>
        </w:rPr>
      </w:pPr>
      <w:r>
        <w:rPr>
          <w:color w:val="auto"/>
          <w:sz w:val="21"/>
          <w:szCs w:val="21"/>
        </w:rPr>
        <w:t xml:space="preserve">3.7.2 </w:t>
      </w:r>
      <w:r>
        <w:rPr>
          <w:rFonts w:hint="eastAsia" w:cs="宋体"/>
          <w:color w:val="auto"/>
          <w:sz w:val="21"/>
          <w:szCs w:val="21"/>
        </w:rPr>
        <w:t>澄清和说明不得超出投标文件的范围或者改变投标文件的实质性内容（算术性错误的修正除外）。投标人的书面澄清、说明属于投标文件的组成部分。</w:t>
      </w:r>
    </w:p>
    <w:p>
      <w:pPr>
        <w:pStyle w:val="50"/>
        <w:spacing w:line="360" w:lineRule="auto"/>
        <w:ind w:firstLine="420" w:firstLineChars="200"/>
        <w:rPr>
          <w:rFonts w:cs="Times New Roman"/>
          <w:color w:val="auto"/>
          <w:sz w:val="21"/>
          <w:szCs w:val="21"/>
        </w:rPr>
      </w:pPr>
      <w:r>
        <w:rPr>
          <w:color w:val="auto"/>
          <w:sz w:val="21"/>
          <w:szCs w:val="21"/>
        </w:rPr>
        <w:t xml:space="preserve">3.7.3 </w:t>
      </w:r>
      <w:r>
        <w:rPr>
          <w:rFonts w:hint="eastAsia" w:cs="宋体"/>
          <w:color w:val="auto"/>
          <w:sz w:val="21"/>
          <w:szCs w:val="21"/>
        </w:rPr>
        <w:t>评标委员会不得暗示或诱导投标人作出澄清、说明，对投标人提交的澄清、说明有疑问的，可以要求投标人进一步澄清或说明，直至满足评标委员会的要求。</w:t>
      </w:r>
    </w:p>
    <w:p>
      <w:pPr>
        <w:pStyle w:val="50"/>
        <w:spacing w:line="360" w:lineRule="auto"/>
        <w:ind w:firstLine="420" w:firstLineChars="200"/>
        <w:rPr>
          <w:rFonts w:cs="Times New Roman"/>
          <w:color w:val="auto"/>
          <w:sz w:val="21"/>
          <w:szCs w:val="21"/>
        </w:rPr>
      </w:pPr>
      <w:r>
        <w:rPr>
          <w:color w:val="auto"/>
          <w:sz w:val="21"/>
          <w:szCs w:val="21"/>
        </w:rPr>
        <w:t xml:space="preserve">3.7.4  </w:t>
      </w:r>
      <w:r>
        <w:rPr>
          <w:rFonts w:hint="eastAsia" w:cs="宋体"/>
          <w:color w:val="auto"/>
          <w:sz w:val="21"/>
          <w:szCs w:val="21"/>
        </w:rPr>
        <w:t>凡超出招标文件规定的或给发包人带来未曾要求的利益的变化、偏差或其他因素在评标时不予考虑。</w:t>
      </w:r>
    </w:p>
    <w:p>
      <w:pPr>
        <w:pStyle w:val="50"/>
        <w:spacing w:line="360" w:lineRule="auto"/>
        <w:rPr>
          <w:rFonts w:cs="Times New Roman"/>
          <w:b/>
          <w:bCs/>
          <w:color w:val="auto"/>
          <w:sz w:val="21"/>
          <w:szCs w:val="21"/>
        </w:rPr>
      </w:pPr>
      <w:r>
        <w:rPr>
          <w:b/>
          <w:bCs/>
          <w:color w:val="auto"/>
          <w:sz w:val="21"/>
          <w:szCs w:val="21"/>
        </w:rPr>
        <w:t xml:space="preserve">3.8 </w:t>
      </w:r>
      <w:r>
        <w:rPr>
          <w:rFonts w:hint="eastAsia" w:cs="宋体"/>
          <w:b/>
          <w:bCs/>
          <w:color w:val="auto"/>
          <w:sz w:val="21"/>
          <w:szCs w:val="21"/>
        </w:rPr>
        <w:t>不得否决投标的情形</w:t>
      </w:r>
    </w:p>
    <w:p>
      <w:pPr>
        <w:pStyle w:val="50"/>
        <w:spacing w:line="360" w:lineRule="auto"/>
        <w:ind w:firstLine="420" w:firstLineChars="200"/>
        <w:rPr>
          <w:rFonts w:cs="Times New Roman"/>
          <w:color w:val="auto"/>
          <w:sz w:val="21"/>
          <w:szCs w:val="21"/>
        </w:rPr>
      </w:pPr>
      <w:r>
        <w:rPr>
          <w:rFonts w:hint="eastAsia" w:cs="宋体"/>
          <w:color w:val="auto"/>
          <w:sz w:val="21"/>
          <w:szCs w:val="21"/>
        </w:rPr>
        <w:t>投标文件存在第二章“投标人须知”第</w:t>
      </w:r>
      <w:r>
        <w:rPr>
          <w:color w:val="auto"/>
          <w:sz w:val="21"/>
          <w:szCs w:val="21"/>
        </w:rPr>
        <w:t>1.12.3</w:t>
      </w:r>
      <w:r>
        <w:rPr>
          <w:rFonts w:hint="eastAsia" w:cs="宋体"/>
          <w:color w:val="auto"/>
          <w:sz w:val="21"/>
          <w:szCs w:val="21"/>
        </w:rPr>
        <w:t>项所列情形的，均视为细微偏差，评标委员会不得否决投标人的投标，应按照第二章“投标人须知”第</w:t>
      </w:r>
      <w:r>
        <w:rPr>
          <w:color w:val="auto"/>
          <w:sz w:val="21"/>
          <w:szCs w:val="21"/>
        </w:rPr>
        <w:t>1.12.4</w:t>
      </w:r>
      <w:r>
        <w:rPr>
          <w:rFonts w:hint="eastAsia" w:cs="宋体"/>
          <w:color w:val="auto"/>
          <w:sz w:val="21"/>
          <w:szCs w:val="21"/>
        </w:rPr>
        <w:t>项规定的原则处理。</w:t>
      </w:r>
    </w:p>
    <w:p>
      <w:pPr>
        <w:pStyle w:val="50"/>
        <w:spacing w:line="360" w:lineRule="auto"/>
        <w:rPr>
          <w:rFonts w:cs="Times New Roman"/>
          <w:b/>
          <w:bCs/>
          <w:color w:val="auto"/>
          <w:sz w:val="21"/>
          <w:szCs w:val="21"/>
        </w:rPr>
      </w:pPr>
      <w:r>
        <w:rPr>
          <w:b/>
          <w:bCs/>
          <w:color w:val="auto"/>
          <w:sz w:val="21"/>
          <w:szCs w:val="21"/>
        </w:rPr>
        <w:t xml:space="preserve">3.9 </w:t>
      </w:r>
      <w:r>
        <w:rPr>
          <w:rFonts w:hint="eastAsia" w:cs="宋体"/>
          <w:b/>
          <w:bCs/>
          <w:color w:val="auto"/>
          <w:sz w:val="21"/>
          <w:szCs w:val="21"/>
        </w:rPr>
        <w:t>评标结果</w:t>
      </w:r>
    </w:p>
    <w:p>
      <w:pPr>
        <w:pStyle w:val="50"/>
        <w:spacing w:line="360" w:lineRule="auto"/>
        <w:ind w:firstLine="420" w:firstLineChars="200"/>
        <w:rPr>
          <w:rFonts w:cs="Times New Roman"/>
          <w:color w:val="auto"/>
          <w:sz w:val="21"/>
          <w:szCs w:val="21"/>
        </w:rPr>
      </w:pPr>
      <w:r>
        <w:rPr>
          <w:color w:val="auto"/>
          <w:sz w:val="21"/>
          <w:szCs w:val="21"/>
        </w:rPr>
        <w:t xml:space="preserve">3.9.1 </w:t>
      </w:r>
      <w:r>
        <w:rPr>
          <w:rFonts w:hint="eastAsia" w:cs="宋体"/>
          <w:color w:val="auto"/>
          <w:sz w:val="21"/>
          <w:szCs w:val="21"/>
        </w:rPr>
        <w:t>除第二章“投标人须知”前附表授权直接确定中标人外，评标委员会按照得分由高到低的顺序推荐中标人候选人，并标明排序。</w:t>
      </w:r>
    </w:p>
    <w:p>
      <w:pPr>
        <w:spacing w:line="360" w:lineRule="auto"/>
        <w:ind w:firstLine="420" w:firstLineChars="200"/>
        <w:jc w:val="left"/>
        <w:rPr>
          <w:rFonts w:cs="Times New Roman"/>
          <w:color w:val="auto"/>
        </w:rPr>
      </w:pPr>
      <w:r>
        <w:rPr>
          <w:color w:val="auto"/>
        </w:rPr>
        <w:t xml:space="preserve">3.9.2 </w:t>
      </w:r>
      <w:r>
        <w:rPr>
          <w:rFonts w:hint="eastAsia" w:cs="宋体"/>
          <w:color w:val="auto"/>
        </w:rPr>
        <w:t>评标委员会完成评标后，应向招标人提交书面评标报告。</w:t>
      </w:r>
    </w:p>
    <w:p>
      <w:pPr>
        <w:pStyle w:val="50"/>
        <w:spacing w:beforeLines="50" w:afterLines="50" w:line="360" w:lineRule="auto"/>
        <w:rPr>
          <w:rFonts w:cs="Times New Roman"/>
          <w:color w:val="auto"/>
        </w:rPr>
      </w:pPr>
    </w:p>
    <w:p>
      <w:pPr>
        <w:pStyle w:val="50"/>
        <w:rPr>
          <w:rFonts w:cs="Times New Roman"/>
          <w:color w:val="auto"/>
        </w:rPr>
      </w:pPr>
    </w:p>
    <w:p>
      <w:pPr>
        <w:pStyle w:val="50"/>
        <w:jc w:val="center"/>
        <w:rPr>
          <w:rFonts w:cs="Times New Roman"/>
          <w:color w:val="auto"/>
        </w:rPr>
      </w:pPr>
    </w:p>
    <w:p>
      <w:pPr>
        <w:pStyle w:val="50"/>
        <w:jc w:val="center"/>
        <w:rPr>
          <w:rFonts w:cs="Times New Roman"/>
          <w:color w:val="auto"/>
        </w:rPr>
      </w:pPr>
    </w:p>
    <w:p>
      <w:pPr>
        <w:pStyle w:val="50"/>
        <w:jc w:val="center"/>
        <w:rPr>
          <w:rFonts w:cs="Times New Roman"/>
          <w:color w:val="auto"/>
          <w:sz w:val="36"/>
          <w:szCs w:val="36"/>
        </w:rPr>
      </w:pPr>
    </w:p>
    <w:p>
      <w:pPr>
        <w:pStyle w:val="50"/>
        <w:jc w:val="center"/>
        <w:rPr>
          <w:rFonts w:cs="Times New Roman"/>
          <w:color w:val="auto"/>
          <w:sz w:val="36"/>
          <w:szCs w:val="36"/>
        </w:rPr>
      </w:pPr>
    </w:p>
    <w:p>
      <w:pPr>
        <w:pStyle w:val="50"/>
        <w:jc w:val="center"/>
        <w:rPr>
          <w:rFonts w:cs="Times New Roman"/>
          <w:color w:val="auto"/>
          <w:sz w:val="36"/>
          <w:szCs w:val="36"/>
        </w:rPr>
      </w:pPr>
    </w:p>
    <w:p>
      <w:pPr>
        <w:pStyle w:val="50"/>
        <w:jc w:val="center"/>
        <w:rPr>
          <w:rFonts w:cs="Times New Roman"/>
          <w:color w:val="auto"/>
          <w:sz w:val="36"/>
          <w:szCs w:val="36"/>
        </w:rPr>
      </w:pPr>
    </w:p>
    <w:p>
      <w:pPr>
        <w:pStyle w:val="50"/>
        <w:jc w:val="center"/>
        <w:rPr>
          <w:rFonts w:cs="Times New Roman"/>
          <w:color w:val="auto"/>
          <w:sz w:val="36"/>
          <w:szCs w:val="36"/>
        </w:rPr>
      </w:pPr>
    </w:p>
    <w:p>
      <w:pPr>
        <w:pStyle w:val="50"/>
        <w:jc w:val="center"/>
        <w:rPr>
          <w:rFonts w:cs="Times New Roman"/>
          <w:color w:val="auto"/>
          <w:sz w:val="36"/>
          <w:szCs w:val="36"/>
        </w:rPr>
      </w:pPr>
    </w:p>
    <w:p>
      <w:pPr>
        <w:pStyle w:val="50"/>
        <w:jc w:val="center"/>
        <w:rPr>
          <w:rFonts w:cs="Times New Roman"/>
          <w:color w:val="auto"/>
          <w:sz w:val="36"/>
          <w:szCs w:val="36"/>
        </w:rPr>
      </w:pPr>
    </w:p>
    <w:p>
      <w:pPr>
        <w:pStyle w:val="50"/>
        <w:jc w:val="center"/>
        <w:rPr>
          <w:rFonts w:cs="Times New Roman"/>
          <w:color w:val="auto"/>
          <w:sz w:val="36"/>
          <w:szCs w:val="36"/>
        </w:rPr>
      </w:pPr>
    </w:p>
    <w:p>
      <w:pPr>
        <w:pStyle w:val="50"/>
        <w:jc w:val="center"/>
        <w:rPr>
          <w:rFonts w:cs="Times New Roman"/>
          <w:color w:val="auto"/>
          <w:sz w:val="36"/>
          <w:szCs w:val="36"/>
        </w:rPr>
      </w:pPr>
    </w:p>
    <w:p>
      <w:pPr>
        <w:pStyle w:val="50"/>
        <w:jc w:val="center"/>
        <w:rPr>
          <w:rFonts w:cs="Times New Roman"/>
          <w:color w:val="auto"/>
          <w:sz w:val="36"/>
          <w:szCs w:val="36"/>
        </w:rPr>
      </w:pPr>
    </w:p>
    <w:p>
      <w:pPr>
        <w:pStyle w:val="50"/>
        <w:jc w:val="center"/>
        <w:rPr>
          <w:rFonts w:cs="Times New Roman"/>
          <w:color w:val="auto"/>
          <w:sz w:val="36"/>
          <w:szCs w:val="36"/>
        </w:rPr>
      </w:pPr>
    </w:p>
    <w:p>
      <w:pPr>
        <w:pStyle w:val="50"/>
        <w:jc w:val="center"/>
        <w:rPr>
          <w:rFonts w:cs="Times New Roman"/>
          <w:color w:val="auto"/>
          <w:sz w:val="36"/>
          <w:szCs w:val="36"/>
        </w:rPr>
      </w:pPr>
    </w:p>
    <w:p>
      <w:pPr>
        <w:pStyle w:val="2"/>
        <w:spacing w:before="480" w:after="240"/>
        <w:rPr>
          <w:rFonts w:cs="Times New Roman"/>
          <w:color w:val="auto"/>
        </w:rPr>
      </w:pPr>
      <w:bookmarkStart w:id="2" w:name="_Toc514059669"/>
    </w:p>
    <w:p>
      <w:pPr>
        <w:pStyle w:val="2"/>
        <w:spacing w:before="480" w:after="240"/>
        <w:rPr>
          <w:rFonts w:cs="Times New Roman"/>
          <w:color w:val="auto"/>
        </w:rPr>
      </w:pPr>
    </w:p>
    <w:p>
      <w:pPr>
        <w:pStyle w:val="2"/>
        <w:spacing w:before="480" w:after="240"/>
        <w:rPr>
          <w:rFonts w:cs="Times New Roman"/>
          <w:color w:val="auto"/>
        </w:rPr>
      </w:pPr>
    </w:p>
    <w:p>
      <w:pPr>
        <w:pStyle w:val="2"/>
        <w:spacing w:before="480" w:after="240"/>
        <w:rPr>
          <w:rFonts w:cs="Times New Roman"/>
          <w:color w:val="auto"/>
        </w:rPr>
      </w:pPr>
      <w:r>
        <w:rPr>
          <w:rFonts w:hint="eastAsia"/>
          <w:color w:val="auto"/>
        </w:rPr>
        <w:t>第四章合同条款及格式</w:t>
      </w:r>
      <w:bookmarkEnd w:id="2"/>
    </w:p>
    <w:p>
      <w:pPr>
        <w:pStyle w:val="50"/>
        <w:spacing w:line="400" w:lineRule="atLeast"/>
        <w:ind w:firstLine="480" w:firstLineChars="200"/>
        <w:rPr>
          <w:rFonts w:cs="Times New Roman"/>
          <w:color w:val="auto"/>
        </w:rPr>
      </w:pPr>
    </w:p>
    <w:p>
      <w:pPr>
        <w:pStyle w:val="50"/>
        <w:jc w:val="center"/>
        <w:rPr>
          <w:rFonts w:cs="Times New Roman"/>
          <w:color w:val="auto"/>
        </w:rPr>
      </w:pPr>
      <w:r>
        <w:rPr>
          <w:rFonts w:cs="Times New Roman"/>
          <w:color w:val="auto"/>
        </w:rPr>
        <w:br w:type="page"/>
      </w:r>
    </w:p>
    <w:p>
      <w:pPr>
        <w:autoSpaceDE w:val="0"/>
        <w:autoSpaceDN w:val="0"/>
        <w:snapToGrid w:val="0"/>
        <w:jc w:val="center"/>
        <w:rPr>
          <w:rFonts w:ascii="宋体" w:hAnsi="Times New Roman" w:cs="Times New Roman"/>
          <w:color w:val="auto"/>
          <w:sz w:val="24"/>
          <w:szCs w:val="24"/>
        </w:rPr>
      </w:pPr>
    </w:p>
    <w:p>
      <w:pPr>
        <w:autoSpaceDE w:val="0"/>
        <w:autoSpaceDN w:val="0"/>
        <w:snapToGrid w:val="0"/>
        <w:jc w:val="center"/>
        <w:rPr>
          <w:rFonts w:ascii="宋体" w:hAnsi="Times New Roman" w:cs="Times New Roman"/>
          <w:color w:val="auto"/>
          <w:sz w:val="24"/>
          <w:szCs w:val="24"/>
        </w:rPr>
      </w:pPr>
    </w:p>
    <w:p>
      <w:pPr>
        <w:autoSpaceDE w:val="0"/>
        <w:autoSpaceDN w:val="0"/>
        <w:snapToGrid w:val="0"/>
        <w:jc w:val="center"/>
        <w:rPr>
          <w:rFonts w:ascii="宋体" w:hAnsi="Times New Roman" w:cs="Times New Roman"/>
          <w:color w:val="auto"/>
          <w:sz w:val="24"/>
          <w:szCs w:val="24"/>
        </w:rPr>
      </w:pPr>
    </w:p>
    <w:p>
      <w:pPr>
        <w:autoSpaceDE w:val="0"/>
        <w:autoSpaceDN w:val="0"/>
        <w:snapToGrid w:val="0"/>
        <w:jc w:val="center"/>
        <w:rPr>
          <w:rFonts w:ascii="宋体" w:hAnsi="Times New Roman" w:cs="Times New Roman"/>
          <w:color w:val="auto"/>
          <w:sz w:val="24"/>
          <w:szCs w:val="24"/>
        </w:rPr>
      </w:pPr>
    </w:p>
    <w:p>
      <w:pPr>
        <w:autoSpaceDE w:val="0"/>
        <w:autoSpaceDN w:val="0"/>
        <w:snapToGrid w:val="0"/>
        <w:jc w:val="center"/>
        <w:rPr>
          <w:rFonts w:ascii="宋体" w:hAnsi="Times New Roman" w:cs="Times New Roman"/>
          <w:color w:val="auto"/>
          <w:sz w:val="24"/>
          <w:szCs w:val="24"/>
        </w:rPr>
      </w:pPr>
    </w:p>
    <w:p>
      <w:pPr>
        <w:autoSpaceDE w:val="0"/>
        <w:autoSpaceDN w:val="0"/>
        <w:snapToGrid w:val="0"/>
        <w:jc w:val="center"/>
        <w:rPr>
          <w:rFonts w:ascii="宋体" w:hAnsi="Times New Roman" w:cs="Times New Roman"/>
          <w:color w:val="auto"/>
          <w:sz w:val="24"/>
          <w:szCs w:val="24"/>
        </w:rPr>
      </w:pPr>
    </w:p>
    <w:p>
      <w:pPr>
        <w:autoSpaceDE w:val="0"/>
        <w:autoSpaceDN w:val="0"/>
        <w:snapToGrid w:val="0"/>
        <w:jc w:val="center"/>
        <w:rPr>
          <w:rFonts w:ascii="宋体" w:hAnsi="Times New Roman" w:cs="Times New Roman"/>
          <w:color w:val="auto"/>
          <w:sz w:val="24"/>
          <w:szCs w:val="24"/>
        </w:rPr>
      </w:pPr>
    </w:p>
    <w:p>
      <w:pPr>
        <w:autoSpaceDE w:val="0"/>
        <w:autoSpaceDN w:val="0"/>
        <w:snapToGrid w:val="0"/>
        <w:jc w:val="center"/>
        <w:rPr>
          <w:rFonts w:ascii="宋体" w:hAnsi="Times New Roman" w:cs="Times New Roman"/>
          <w:color w:val="auto"/>
          <w:sz w:val="24"/>
          <w:szCs w:val="24"/>
        </w:rPr>
      </w:pPr>
    </w:p>
    <w:p>
      <w:pPr>
        <w:autoSpaceDE w:val="0"/>
        <w:autoSpaceDN w:val="0"/>
        <w:snapToGrid w:val="0"/>
        <w:jc w:val="center"/>
        <w:rPr>
          <w:rFonts w:ascii="宋体" w:hAnsi="Times New Roman" w:cs="Times New Roman"/>
          <w:color w:val="auto"/>
          <w:sz w:val="24"/>
          <w:szCs w:val="24"/>
        </w:rPr>
      </w:pPr>
    </w:p>
    <w:p>
      <w:pPr>
        <w:autoSpaceDE w:val="0"/>
        <w:autoSpaceDN w:val="0"/>
        <w:snapToGrid w:val="0"/>
        <w:jc w:val="center"/>
        <w:rPr>
          <w:rFonts w:ascii="宋体" w:hAnsi="Times New Roman" w:cs="Times New Roman"/>
          <w:color w:val="auto"/>
          <w:sz w:val="24"/>
          <w:szCs w:val="24"/>
        </w:rPr>
      </w:pPr>
    </w:p>
    <w:p>
      <w:pPr>
        <w:autoSpaceDE w:val="0"/>
        <w:autoSpaceDN w:val="0"/>
        <w:snapToGrid w:val="0"/>
        <w:jc w:val="center"/>
        <w:rPr>
          <w:rFonts w:ascii="宋体" w:hAnsi="Times New Roman" w:cs="Times New Roman"/>
          <w:color w:val="auto"/>
          <w:sz w:val="24"/>
          <w:szCs w:val="24"/>
        </w:rPr>
      </w:pPr>
    </w:p>
    <w:p>
      <w:pPr>
        <w:autoSpaceDE w:val="0"/>
        <w:autoSpaceDN w:val="0"/>
        <w:snapToGrid w:val="0"/>
        <w:jc w:val="center"/>
        <w:rPr>
          <w:rFonts w:ascii="宋体" w:hAnsi="Times New Roman" w:cs="Times New Roman"/>
          <w:color w:val="auto"/>
          <w:sz w:val="24"/>
          <w:szCs w:val="24"/>
        </w:rPr>
      </w:pPr>
    </w:p>
    <w:p>
      <w:pPr>
        <w:autoSpaceDE w:val="0"/>
        <w:autoSpaceDN w:val="0"/>
        <w:snapToGrid w:val="0"/>
        <w:jc w:val="center"/>
        <w:rPr>
          <w:rFonts w:ascii="宋体" w:hAnsi="Times New Roman" w:cs="Times New Roman"/>
          <w:color w:val="auto"/>
          <w:sz w:val="24"/>
          <w:szCs w:val="24"/>
        </w:rPr>
      </w:pPr>
    </w:p>
    <w:p>
      <w:pPr>
        <w:autoSpaceDE w:val="0"/>
        <w:autoSpaceDN w:val="0"/>
        <w:snapToGrid w:val="0"/>
        <w:jc w:val="center"/>
        <w:rPr>
          <w:rFonts w:ascii="黑体" w:hAnsi="Times New Roman" w:eastAsia="黑体" w:cs="Times New Roman"/>
          <w:b/>
          <w:bCs/>
          <w:color w:val="auto"/>
          <w:sz w:val="32"/>
          <w:szCs w:val="32"/>
        </w:rPr>
      </w:pPr>
      <w:r>
        <w:rPr>
          <w:rFonts w:hint="eastAsia" w:ascii="黑体" w:hAnsi="Times New Roman" w:eastAsia="黑体" w:cs="黑体"/>
          <w:b/>
          <w:bCs/>
          <w:color w:val="auto"/>
          <w:sz w:val="32"/>
          <w:szCs w:val="32"/>
        </w:rPr>
        <w:t>第一节通用合同条款</w:t>
      </w:r>
    </w:p>
    <w:p>
      <w:pPr>
        <w:pStyle w:val="61"/>
        <w:keepNext/>
        <w:keepLines/>
        <w:shd w:val="clear" w:color="auto" w:fill="auto"/>
        <w:spacing w:after="312"/>
        <w:ind w:right="80"/>
        <w:rPr>
          <w:rFonts w:ascii="宋体" w:hAnsi="宋体" w:eastAsia="宋体" w:cs="Times New Roman"/>
          <w:color w:val="auto"/>
          <w:sz w:val="21"/>
          <w:szCs w:val="21"/>
        </w:rPr>
      </w:pPr>
      <w:r>
        <w:rPr>
          <w:rFonts w:cs="Times New Roman"/>
          <w:color w:val="auto"/>
        </w:rPr>
        <w:br w:type="page"/>
      </w:r>
      <w:bookmarkStart w:id="3" w:name="bookmark97"/>
      <w:r>
        <w:rPr>
          <w:rFonts w:hint="eastAsia" w:ascii="宋体" w:hAnsi="宋体" w:eastAsia="宋体" w:cs="宋体"/>
          <w:color w:val="auto"/>
          <w:sz w:val="21"/>
          <w:szCs w:val="21"/>
        </w:rPr>
        <w:t>通用合同条款</w:t>
      </w:r>
      <w:bookmarkEnd w:id="3"/>
    </w:p>
    <w:p>
      <w:pPr>
        <w:pStyle w:val="62"/>
        <w:numPr>
          <w:ilvl w:val="0"/>
          <w:numId w:val="2"/>
        </w:numPr>
        <w:shd w:val="clear" w:color="auto" w:fill="auto"/>
        <w:tabs>
          <w:tab w:val="left" w:pos="358"/>
        </w:tabs>
        <w:spacing w:before="0" w:after="312"/>
        <w:ind w:firstLine="0"/>
        <w:jc w:val="left"/>
        <w:rPr>
          <w:rFonts w:ascii="宋体" w:hAnsi="宋体" w:eastAsia="宋体" w:cs="Times New Roman"/>
          <w:color w:val="auto"/>
          <w:sz w:val="21"/>
          <w:szCs w:val="21"/>
        </w:rPr>
      </w:pPr>
      <w:r>
        <w:rPr>
          <w:rStyle w:val="63"/>
          <w:rFonts w:hint="eastAsia" w:ascii="宋体" w:hAnsi="宋体" w:eastAsia="宋体" w:cs="宋体"/>
          <w:color w:val="auto"/>
          <w:sz w:val="21"/>
          <w:szCs w:val="21"/>
        </w:rPr>
        <w:t>一般约定</w:t>
      </w:r>
    </w:p>
    <w:p>
      <w:pPr>
        <w:pStyle w:val="64"/>
        <w:keepNext/>
        <w:keepLines/>
        <w:shd w:val="clear" w:color="auto" w:fill="auto"/>
        <w:spacing w:after="280" w:line="220" w:lineRule="exact"/>
        <w:ind w:firstLine="520"/>
        <w:rPr>
          <w:rFonts w:ascii="宋体" w:hAnsi="宋体" w:eastAsia="宋体" w:cs="Times New Roman"/>
          <w:color w:val="auto"/>
          <w:sz w:val="21"/>
          <w:szCs w:val="21"/>
        </w:rPr>
      </w:pPr>
      <w:bookmarkStart w:id="4" w:name="bookmark98"/>
      <w:r>
        <w:rPr>
          <w:rFonts w:ascii="宋体" w:hAnsi="宋体" w:eastAsia="宋体" w:cs="宋体"/>
          <w:color w:val="auto"/>
          <w:sz w:val="21"/>
          <w:szCs w:val="21"/>
          <w:lang w:eastAsia="en-US"/>
        </w:rPr>
        <w:t>1.1</w:t>
      </w:r>
      <w:r>
        <w:rPr>
          <w:rFonts w:hint="eastAsia" w:ascii="宋体" w:hAnsi="宋体" w:eastAsia="宋体" w:cs="宋体"/>
          <w:color w:val="auto"/>
          <w:sz w:val="21"/>
          <w:szCs w:val="21"/>
        </w:rPr>
        <w:t>词语定义</w:t>
      </w:r>
      <w:bookmarkEnd w:id="4"/>
    </w:p>
    <w:p>
      <w:pPr>
        <w:pStyle w:val="60"/>
        <w:shd w:val="clear" w:color="auto" w:fill="auto"/>
        <w:spacing w:before="0" w:after="70"/>
        <w:ind w:firstLine="520"/>
        <w:jc w:val="both"/>
        <w:rPr>
          <w:rFonts w:ascii="宋体" w:hAnsi="宋体" w:eastAsia="宋体" w:cs="Times New Roman"/>
          <w:color w:val="auto"/>
          <w:sz w:val="21"/>
          <w:szCs w:val="21"/>
        </w:rPr>
      </w:pPr>
      <w:r>
        <w:rPr>
          <w:rFonts w:hint="eastAsia" w:ascii="宋体" w:hAnsi="宋体" w:eastAsia="宋体" w:cs="宋体"/>
          <w:color w:val="auto"/>
          <w:sz w:val="21"/>
          <w:szCs w:val="21"/>
        </w:rPr>
        <w:t>通用合同条款、专用合同条款中的下列词语应具有本款所赋予的含义。</w:t>
      </w:r>
    </w:p>
    <w:p>
      <w:pPr>
        <w:pStyle w:val="60"/>
        <w:shd w:val="clear" w:color="auto" w:fill="auto"/>
        <w:spacing w:before="0" w:after="0" w:line="482"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1.1.1</w:t>
      </w:r>
      <w:r>
        <w:rPr>
          <w:rFonts w:hint="eastAsia" w:ascii="宋体" w:hAnsi="宋体" w:eastAsia="宋体" w:cs="宋体"/>
          <w:color w:val="auto"/>
          <w:sz w:val="21"/>
          <w:szCs w:val="21"/>
        </w:rPr>
        <w:t>合同</w:t>
      </w:r>
    </w:p>
    <w:p>
      <w:pPr>
        <w:pStyle w:val="60"/>
        <w:shd w:val="clear" w:color="auto" w:fill="auto"/>
        <w:spacing w:before="0" w:after="0" w:line="482"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1.1.1.1</w:t>
      </w:r>
      <w:r>
        <w:rPr>
          <w:rFonts w:hint="eastAsia" w:ascii="宋体" w:hAnsi="宋体" w:eastAsia="宋体" w:cs="宋体"/>
          <w:color w:val="auto"/>
          <w:sz w:val="21"/>
          <w:szCs w:val="21"/>
        </w:rPr>
        <w:t>合同文件（或称合同）：指合同协议书、中标通知书、投标函、专用合同条款、通用合同条款、发包人要求、勘察费用清单，以及其他构成合同组成部分的文件。</w:t>
      </w:r>
    </w:p>
    <w:p>
      <w:pPr>
        <w:pStyle w:val="60"/>
        <w:shd w:val="clear" w:color="auto" w:fill="auto"/>
        <w:spacing w:before="0" w:after="0" w:line="482" w:lineRule="exact"/>
        <w:ind w:firstLine="520"/>
        <w:jc w:val="both"/>
        <w:rPr>
          <w:rFonts w:ascii="宋体" w:hAnsi="宋体" w:eastAsia="宋体" w:cs="Times New Roman"/>
          <w:color w:val="auto"/>
          <w:sz w:val="21"/>
          <w:szCs w:val="21"/>
        </w:rPr>
      </w:pPr>
      <w:r>
        <w:rPr>
          <w:rStyle w:val="65"/>
          <w:rFonts w:ascii="宋体" w:hAnsi="宋体" w:eastAsia="宋体" w:cs="宋体"/>
          <w:color w:val="auto"/>
          <w:sz w:val="21"/>
          <w:szCs w:val="21"/>
          <w:lang w:eastAsia="zh-CN"/>
        </w:rPr>
        <w:t>1</w:t>
      </w:r>
      <w:r>
        <w:rPr>
          <w:rStyle w:val="66"/>
          <w:rFonts w:ascii="宋体" w:hAnsi="宋体" w:eastAsia="宋体" w:cs="宋体"/>
          <w:color w:val="auto"/>
          <w:sz w:val="21"/>
          <w:szCs w:val="21"/>
          <w:lang w:eastAsia="zh-CN"/>
        </w:rPr>
        <w:t>.</w:t>
      </w:r>
      <w:r>
        <w:rPr>
          <w:rStyle w:val="65"/>
          <w:rFonts w:ascii="宋体" w:hAnsi="宋体" w:eastAsia="宋体" w:cs="宋体"/>
          <w:color w:val="auto"/>
          <w:sz w:val="21"/>
          <w:szCs w:val="21"/>
          <w:lang w:eastAsia="zh-CN"/>
        </w:rPr>
        <w:t>1</w:t>
      </w:r>
      <w:r>
        <w:rPr>
          <w:rStyle w:val="66"/>
          <w:rFonts w:ascii="宋体" w:hAnsi="宋体" w:eastAsia="宋体" w:cs="宋体"/>
          <w:color w:val="auto"/>
          <w:sz w:val="21"/>
          <w:szCs w:val="21"/>
          <w:lang w:eastAsia="zh-CN"/>
        </w:rPr>
        <w:t>.</w:t>
      </w:r>
      <w:r>
        <w:rPr>
          <w:rFonts w:ascii="宋体" w:hAnsi="宋体" w:eastAsia="宋体" w:cs="宋体"/>
          <w:color w:val="auto"/>
          <w:sz w:val="21"/>
          <w:szCs w:val="21"/>
        </w:rPr>
        <w:t>1.2</w:t>
      </w:r>
      <w:r>
        <w:rPr>
          <w:rFonts w:hint="eastAsia" w:ascii="宋体" w:hAnsi="宋体" w:eastAsia="宋体" w:cs="宋体"/>
          <w:color w:val="auto"/>
          <w:sz w:val="21"/>
          <w:szCs w:val="21"/>
        </w:rPr>
        <w:t>合同协议书：指发包人和勘察人共同签署的合同协议书。</w:t>
      </w:r>
    </w:p>
    <w:p>
      <w:pPr>
        <w:pStyle w:val="60"/>
        <w:shd w:val="clear" w:color="auto" w:fill="auto"/>
        <w:spacing w:before="0" w:after="0" w:line="482"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1.1.1.3</w:t>
      </w:r>
      <w:r>
        <w:rPr>
          <w:rFonts w:hint="eastAsia" w:ascii="宋体" w:hAnsi="宋体" w:eastAsia="宋体" w:cs="宋体"/>
          <w:color w:val="auto"/>
          <w:sz w:val="21"/>
          <w:szCs w:val="21"/>
        </w:rPr>
        <w:t>中标通知书：指发包人通知勘察人中标的函件。</w:t>
      </w:r>
    </w:p>
    <w:p>
      <w:pPr>
        <w:pStyle w:val="60"/>
        <w:shd w:val="clear" w:color="auto" w:fill="auto"/>
        <w:spacing w:before="0" w:after="0" w:line="482" w:lineRule="exact"/>
        <w:ind w:firstLine="520"/>
        <w:jc w:val="both"/>
        <w:rPr>
          <w:rFonts w:ascii="宋体" w:hAnsi="宋体" w:eastAsia="宋体" w:cs="Times New Roman"/>
          <w:color w:val="auto"/>
          <w:sz w:val="21"/>
          <w:szCs w:val="21"/>
        </w:rPr>
      </w:pPr>
      <w:r>
        <w:rPr>
          <w:rStyle w:val="65"/>
          <w:rFonts w:ascii="宋体" w:hAnsi="宋体" w:eastAsia="宋体" w:cs="宋体"/>
          <w:color w:val="auto"/>
          <w:sz w:val="21"/>
          <w:szCs w:val="21"/>
          <w:lang w:eastAsia="zh-CN"/>
        </w:rPr>
        <w:t>1</w:t>
      </w:r>
      <w:r>
        <w:rPr>
          <w:rStyle w:val="66"/>
          <w:rFonts w:ascii="宋体" w:hAnsi="宋体" w:eastAsia="宋体" w:cs="宋体"/>
          <w:color w:val="auto"/>
          <w:sz w:val="21"/>
          <w:szCs w:val="21"/>
          <w:lang w:eastAsia="zh-CN"/>
        </w:rPr>
        <w:t>.</w:t>
      </w:r>
      <w:r>
        <w:rPr>
          <w:rStyle w:val="65"/>
          <w:rFonts w:ascii="宋体" w:hAnsi="宋体" w:eastAsia="宋体" w:cs="宋体"/>
          <w:color w:val="auto"/>
          <w:sz w:val="21"/>
          <w:szCs w:val="21"/>
          <w:lang w:eastAsia="zh-CN"/>
        </w:rPr>
        <w:t>1</w:t>
      </w:r>
      <w:r>
        <w:rPr>
          <w:rStyle w:val="66"/>
          <w:rFonts w:ascii="宋体" w:hAnsi="宋体" w:eastAsia="宋体" w:cs="宋体"/>
          <w:color w:val="auto"/>
          <w:sz w:val="21"/>
          <w:szCs w:val="21"/>
          <w:lang w:eastAsia="zh-CN"/>
        </w:rPr>
        <w:t>.</w:t>
      </w:r>
      <w:r>
        <w:rPr>
          <w:rFonts w:ascii="宋体" w:hAnsi="宋体" w:eastAsia="宋体" w:cs="宋体"/>
          <w:color w:val="auto"/>
          <w:sz w:val="21"/>
          <w:szCs w:val="21"/>
        </w:rPr>
        <w:t>1.4</w:t>
      </w:r>
      <w:r>
        <w:rPr>
          <w:rFonts w:hint="eastAsia" w:ascii="宋体" w:hAnsi="宋体" w:eastAsia="宋体" w:cs="宋体"/>
          <w:color w:val="auto"/>
          <w:sz w:val="21"/>
          <w:szCs w:val="21"/>
        </w:rPr>
        <w:t>投标函：指由勘察人填写并签署的，名为“投标函”的函件。</w:t>
      </w:r>
    </w:p>
    <w:p>
      <w:pPr>
        <w:pStyle w:val="60"/>
        <w:shd w:val="clear" w:color="auto" w:fill="auto"/>
        <w:spacing w:before="0" w:after="0" w:line="482"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1.1.1.5</w:t>
      </w:r>
      <w:r>
        <w:rPr>
          <w:rFonts w:hint="eastAsia" w:ascii="宋体" w:hAnsi="宋体" w:eastAsia="宋体" w:cs="宋体"/>
          <w:color w:val="auto"/>
          <w:sz w:val="21"/>
          <w:szCs w:val="21"/>
        </w:rPr>
        <w:t>发包人要求：指合同文件中名为“发包人要求”的文件。</w:t>
      </w:r>
    </w:p>
    <w:p>
      <w:pPr>
        <w:pStyle w:val="60"/>
        <w:shd w:val="clear" w:color="auto" w:fill="auto"/>
        <w:spacing w:before="0" w:after="0" w:line="482"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1.1.1.6</w:t>
      </w:r>
      <w:r>
        <w:rPr>
          <w:rFonts w:hint="eastAsia" w:ascii="宋体" w:hAnsi="宋体" w:eastAsia="宋体" w:cs="宋体"/>
          <w:color w:val="auto"/>
          <w:sz w:val="21"/>
          <w:szCs w:val="21"/>
        </w:rPr>
        <w:t>技术建议书：指勘察人投标文件中的技术建议书。</w:t>
      </w:r>
    </w:p>
    <w:p>
      <w:pPr>
        <w:pStyle w:val="60"/>
        <w:shd w:val="clear" w:color="auto" w:fill="auto"/>
        <w:spacing w:before="0" w:after="0" w:line="482"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1.1.1.7</w:t>
      </w:r>
      <w:r>
        <w:rPr>
          <w:rFonts w:hint="eastAsia" w:ascii="宋体" w:hAnsi="宋体" w:eastAsia="宋体" w:cs="宋体"/>
          <w:color w:val="auto"/>
          <w:sz w:val="21"/>
          <w:szCs w:val="21"/>
        </w:rPr>
        <w:t>勘察费用清单：指勘察人投标文件中的勘察费用清单。</w:t>
      </w:r>
    </w:p>
    <w:p>
      <w:pPr>
        <w:pStyle w:val="60"/>
        <w:shd w:val="clear" w:color="auto" w:fill="auto"/>
        <w:spacing w:before="0" w:after="0" w:line="482"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1.1.1.8</w:t>
      </w:r>
      <w:r>
        <w:rPr>
          <w:rFonts w:hint="eastAsia" w:ascii="宋体" w:hAnsi="宋体" w:eastAsia="宋体" w:cs="宋体"/>
          <w:color w:val="auto"/>
          <w:sz w:val="21"/>
          <w:szCs w:val="21"/>
        </w:rPr>
        <w:t>其他合同文件：指经合同双方当事人确认构成合同文件的其他文件。</w:t>
      </w:r>
    </w:p>
    <w:p>
      <w:pPr>
        <w:pStyle w:val="60"/>
        <w:shd w:val="clear" w:color="auto" w:fill="auto"/>
        <w:spacing w:before="0" w:after="0" w:line="482"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1.1.2</w:t>
      </w:r>
      <w:r>
        <w:rPr>
          <w:rFonts w:hint="eastAsia" w:ascii="宋体" w:hAnsi="宋体" w:eastAsia="宋体" w:cs="宋体"/>
          <w:color w:val="auto"/>
          <w:sz w:val="21"/>
          <w:szCs w:val="21"/>
        </w:rPr>
        <w:t>合同当事人和人员</w:t>
      </w:r>
    </w:p>
    <w:p>
      <w:pPr>
        <w:pStyle w:val="60"/>
        <w:shd w:val="clear" w:color="auto" w:fill="auto"/>
        <w:spacing w:before="0" w:after="0" w:line="482"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1.1.2.1</w:t>
      </w:r>
      <w:r>
        <w:rPr>
          <w:rFonts w:hint="eastAsia" w:ascii="宋体" w:hAnsi="宋体" w:eastAsia="宋体" w:cs="宋体"/>
          <w:color w:val="auto"/>
          <w:sz w:val="21"/>
          <w:szCs w:val="21"/>
        </w:rPr>
        <w:t>合同当事人：指发包人和（或）勘察人。</w:t>
      </w:r>
    </w:p>
    <w:p>
      <w:pPr>
        <w:pStyle w:val="60"/>
        <w:shd w:val="clear" w:color="auto" w:fill="auto"/>
        <w:spacing w:before="0" w:after="0" w:line="482"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1.1.2.2</w:t>
      </w:r>
      <w:r>
        <w:rPr>
          <w:rFonts w:hint="eastAsia" w:ascii="宋体" w:hAnsi="宋体" w:eastAsia="宋体" w:cs="宋体"/>
          <w:color w:val="auto"/>
          <w:sz w:val="21"/>
          <w:szCs w:val="21"/>
        </w:rPr>
        <w:t>发包人：指与勘察人签订合同协议书的当事人，以及取得该当事人资格的合法继承人。</w:t>
      </w:r>
    </w:p>
    <w:p>
      <w:pPr>
        <w:pStyle w:val="60"/>
        <w:shd w:val="clear" w:color="auto" w:fill="auto"/>
        <w:spacing w:before="0" w:after="0" w:line="482"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1.1.2.3</w:t>
      </w:r>
      <w:r>
        <w:rPr>
          <w:rFonts w:hint="eastAsia" w:ascii="宋体" w:hAnsi="宋体" w:eastAsia="宋体" w:cs="宋体"/>
          <w:color w:val="auto"/>
          <w:sz w:val="21"/>
          <w:szCs w:val="21"/>
        </w:rPr>
        <w:t>勘察人：指与发包人签订合同协议书的当事人，以及取得该当事人资格的合法继承人。若勘察人为联合体，则勘察人包括联合体所有成员单位。</w:t>
      </w:r>
    </w:p>
    <w:p>
      <w:pPr>
        <w:pStyle w:val="60"/>
        <w:shd w:val="clear" w:color="auto" w:fill="auto"/>
        <w:spacing w:before="0" w:after="0" w:line="482"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1.1.2.4</w:t>
      </w:r>
      <w:r>
        <w:rPr>
          <w:rFonts w:hint="eastAsia" w:ascii="宋体" w:hAnsi="宋体" w:eastAsia="宋体" w:cs="宋体"/>
          <w:color w:val="auto"/>
          <w:sz w:val="21"/>
          <w:szCs w:val="21"/>
        </w:rPr>
        <w:t>发包人代表：指由发包人任命，并在授权范围和期限内代表发包人行使权利和履行义务的全权负责人。</w:t>
      </w:r>
    </w:p>
    <w:p>
      <w:pPr>
        <w:pStyle w:val="60"/>
        <w:shd w:val="clear" w:color="auto" w:fill="auto"/>
        <w:spacing w:before="0" w:after="0" w:line="482"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1.1.2.5</w:t>
      </w:r>
      <w:r>
        <w:rPr>
          <w:rFonts w:hint="eastAsia" w:ascii="宋体" w:hAnsi="宋体" w:eastAsia="宋体" w:cs="宋体"/>
          <w:color w:val="auto"/>
          <w:sz w:val="21"/>
          <w:szCs w:val="21"/>
        </w:rPr>
        <w:t>项目负责人：指由勘察人任命，代表勘察人行使权利和履行义务的全权负责</w:t>
      </w:r>
    </w:p>
    <w:p>
      <w:pPr>
        <w:pStyle w:val="60"/>
        <w:shd w:val="clear" w:color="auto" w:fill="auto"/>
        <w:spacing w:before="0" w:after="0" w:line="482"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1.1.2.6</w:t>
      </w:r>
      <w:r>
        <w:rPr>
          <w:rFonts w:hint="eastAsia" w:ascii="宋体" w:hAnsi="宋体" w:eastAsia="宋体" w:cs="宋体"/>
          <w:color w:val="auto"/>
          <w:sz w:val="21"/>
          <w:szCs w:val="21"/>
        </w:rPr>
        <w:t>分项负责人：指由勘察人批准、并经过发包人认可的各专业负责人。</w:t>
      </w:r>
    </w:p>
    <w:p>
      <w:pPr>
        <w:pStyle w:val="60"/>
        <w:shd w:val="clear" w:color="auto" w:fill="auto"/>
        <w:spacing w:before="0" w:after="0" w:line="482"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1.1.2.7</w:t>
      </w:r>
      <w:r>
        <w:rPr>
          <w:rFonts w:hint="eastAsia" w:ascii="宋体" w:hAnsi="宋体" w:eastAsia="宋体" w:cs="宋体"/>
          <w:color w:val="auto"/>
          <w:sz w:val="21"/>
          <w:szCs w:val="21"/>
        </w:rPr>
        <w:t>分包人：指从勘察人处分包合同中某一部分工作，并与其签订分包合同的分包人。</w:t>
      </w:r>
    </w:p>
    <w:p>
      <w:pPr>
        <w:pStyle w:val="60"/>
        <w:shd w:val="clear" w:color="auto" w:fill="auto"/>
        <w:spacing w:before="0" w:after="0" w:line="482" w:lineRule="exact"/>
        <w:ind w:firstLine="540"/>
        <w:jc w:val="both"/>
        <w:rPr>
          <w:rFonts w:ascii="宋体" w:hAnsi="宋体" w:eastAsia="宋体" w:cs="Times New Roman"/>
          <w:color w:val="auto"/>
          <w:sz w:val="21"/>
          <w:szCs w:val="21"/>
        </w:rPr>
      </w:pPr>
      <w:r>
        <w:rPr>
          <w:rStyle w:val="67"/>
          <w:rFonts w:ascii="宋体" w:hAnsi="宋体" w:eastAsia="宋体" w:cs="宋体"/>
          <w:color w:val="auto"/>
          <w:sz w:val="21"/>
          <w:szCs w:val="21"/>
          <w:lang w:eastAsia="zh-CN"/>
        </w:rPr>
        <w:t>1</w:t>
      </w:r>
      <w:r>
        <w:rPr>
          <w:rStyle w:val="68"/>
          <w:rFonts w:ascii="宋体" w:hAnsi="宋体" w:eastAsia="宋体" w:cs="宋体"/>
          <w:color w:val="auto"/>
          <w:sz w:val="21"/>
          <w:szCs w:val="21"/>
          <w:lang w:eastAsia="zh-CN"/>
        </w:rPr>
        <w:t>.</w:t>
      </w:r>
      <w:r>
        <w:rPr>
          <w:rStyle w:val="67"/>
          <w:rFonts w:ascii="宋体" w:hAnsi="宋体" w:eastAsia="宋体" w:cs="宋体"/>
          <w:color w:val="auto"/>
          <w:sz w:val="21"/>
          <w:szCs w:val="21"/>
          <w:lang w:eastAsia="zh-CN"/>
        </w:rPr>
        <w:t>1</w:t>
      </w:r>
      <w:r>
        <w:rPr>
          <w:rStyle w:val="68"/>
          <w:rFonts w:ascii="宋体" w:hAnsi="宋体" w:eastAsia="宋体" w:cs="宋体"/>
          <w:color w:val="auto"/>
          <w:sz w:val="21"/>
          <w:szCs w:val="21"/>
          <w:lang w:eastAsia="zh-CN"/>
        </w:rPr>
        <w:t>.</w:t>
      </w:r>
      <w:r>
        <w:rPr>
          <w:rStyle w:val="67"/>
          <w:rFonts w:ascii="宋体" w:hAnsi="宋体" w:eastAsia="宋体" w:cs="宋体"/>
          <w:color w:val="auto"/>
          <w:sz w:val="21"/>
          <w:szCs w:val="21"/>
          <w:lang w:eastAsia="zh-CN"/>
        </w:rPr>
        <w:t>2.8</w:t>
      </w:r>
      <w:r>
        <w:rPr>
          <w:rFonts w:hint="eastAsia" w:ascii="宋体" w:hAnsi="宋体" w:eastAsia="宋体" w:cs="宋体"/>
          <w:color w:val="auto"/>
          <w:sz w:val="21"/>
          <w:szCs w:val="21"/>
        </w:rPr>
        <w:t>咨询单位：指受发包人委托对本工程勘察文件进行审查或提供咨询意见的咨询机构。</w:t>
      </w:r>
    </w:p>
    <w:p>
      <w:pPr>
        <w:pStyle w:val="60"/>
        <w:shd w:val="clear" w:color="auto" w:fill="auto"/>
        <w:spacing w:before="0" w:after="0" w:line="482" w:lineRule="exact"/>
        <w:ind w:firstLine="540"/>
        <w:jc w:val="both"/>
        <w:rPr>
          <w:rFonts w:ascii="宋体" w:hAnsi="宋体" w:eastAsia="宋体" w:cs="Times New Roman"/>
          <w:color w:val="auto"/>
          <w:sz w:val="21"/>
          <w:szCs w:val="21"/>
        </w:rPr>
      </w:pPr>
      <w:r>
        <w:rPr>
          <w:rFonts w:ascii="宋体" w:hAnsi="宋体" w:eastAsia="宋体" w:cs="宋体"/>
          <w:color w:val="auto"/>
          <w:sz w:val="21"/>
          <w:szCs w:val="21"/>
        </w:rPr>
        <w:t>1.1.3</w:t>
      </w:r>
      <w:r>
        <w:rPr>
          <w:rFonts w:hint="eastAsia" w:ascii="宋体" w:hAnsi="宋体" w:eastAsia="宋体" w:cs="宋体"/>
          <w:color w:val="auto"/>
          <w:sz w:val="21"/>
          <w:szCs w:val="21"/>
        </w:rPr>
        <w:t>工程和勘察</w:t>
      </w:r>
    </w:p>
    <w:p>
      <w:pPr>
        <w:pStyle w:val="60"/>
        <w:shd w:val="clear" w:color="auto" w:fill="auto"/>
        <w:spacing w:before="0" w:after="0" w:line="482" w:lineRule="exact"/>
        <w:ind w:firstLine="540"/>
        <w:jc w:val="both"/>
        <w:rPr>
          <w:rFonts w:ascii="宋体" w:hAnsi="宋体" w:eastAsia="宋体" w:cs="Times New Roman"/>
          <w:color w:val="auto"/>
          <w:sz w:val="21"/>
          <w:szCs w:val="21"/>
        </w:rPr>
      </w:pPr>
      <w:r>
        <w:rPr>
          <w:rFonts w:ascii="宋体" w:hAnsi="宋体" w:eastAsia="宋体" w:cs="宋体"/>
          <w:color w:val="auto"/>
          <w:sz w:val="21"/>
          <w:szCs w:val="21"/>
        </w:rPr>
        <w:t>1.1.3.1</w:t>
      </w:r>
      <w:r>
        <w:rPr>
          <w:rFonts w:hint="eastAsia" w:ascii="宋体" w:hAnsi="宋体" w:eastAsia="宋体" w:cs="宋体"/>
          <w:color w:val="auto"/>
          <w:sz w:val="21"/>
          <w:szCs w:val="21"/>
        </w:rPr>
        <w:t>工程：指专用合同条款中指明进行勘察招标的工程。</w:t>
      </w:r>
    </w:p>
    <w:p>
      <w:pPr>
        <w:pStyle w:val="60"/>
        <w:shd w:val="clear" w:color="auto" w:fill="auto"/>
        <w:spacing w:before="0" w:after="0" w:line="482" w:lineRule="exact"/>
        <w:ind w:firstLine="540"/>
        <w:jc w:val="both"/>
        <w:rPr>
          <w:rFonts w:ascii="宋体" w:hAnsi="宋体" w:eastAsia="宋体" w:cs="Times New Roman"/>
          <w:color w:val="auto"/>
          <w:sz w:val="21"/>
          <w:szCs w:val="21"/>
        </w:rPr>
      </w:pPr>
      <w:r>
        <w:rPr>
          <w:rFonts w:ascii="宋体" w:hAnsi="宋体" w:eastAsia="宋体" w:cs="宋体"/>
          <w:color w:val="auto"/>
          <w:sz w:val="21"/>
          <w:szCs w:val="21"/>
        </w:rPr>
        <w:t>1.1.3.2</w:t>
      </w:r>
      <w:r>
        <w:rPr>
          <w:rFonts w:hint="eastAsia" w:ascii="宋体" w:hAnsi="宋体" w:eastAsia="宋体" w:cs="宋体"/>
          <w:color w:val="auto"/>
          <w:sz w:val="21"/>
          <w:szCs w:val="21"/>
        </w:rPr>
        <w:t>勘察服务：指勘察人按照合同约定履行的服务，包括制订勘察工作大纲、进行测绘、勘探、取样和试验等，查明、分析和评估地质特征和工程条件，编制勘察报告；发包人委托的其他服务。本合同包括的具体勘察服务内容在专用合同条款中约定。</w:t>
      </w:r>
    </w:p>
    <w:p>
      <w:pPr>
        <w:pStyle w:val="60"/>
        <w:shd w:val="clear" w:color="auto" w:fill="auto"/>
        <w:spacing w:before="0" w:after="0" w:line="482" w:lineRule="exact"/>
        <w:ind w:firstLine="540"/>
        <w:jc w:val="both"/>
        <w:rPr>
          <w:rFonts w:ascii="宋体" w:hAnsi="宋体" w:eastAsia="宋体" w:cs="Times New Roman"/>
          <w:color w:val="auto"/>
          <w:sz w:val="21"/>
          <w:szCs w:val="21"/>
        </w:rPr>
      </w:pPr>
      <w:r>
        <w:rPr>
          <w:rFonts w:ascii="宋体" w:hAnsi="宋体" w:eastAsia="宋体" w:cs="宋体"/>
          <w:color w:val="auto"/>
          <w:sz w:val="21"/>
          <w:szCs w:val="21"/>
        </w:rPr>
        <w:t>1.1.3.3</w:t>
      </w:r>
      <w:r>
        <w:rPr>
          <w:rFonts w:hint="eastAsia" w:ascii="宋体" w:hAnsi="宋体" w:eastAsia="宋体" w:cs="宋体"/>
          <w:color w:val="auto"/>
          <w:sz w:val="21"/>
          <w:szCs w:val="21"/>
        </w:rPr>
        <w:t>勘察设备：指为完成合同约定的各项工作所需的设备、器具和其他物品，不包括临时工程和材料。</w:t>
      </w:r>
    </w:p>
    <w:p>
      <w:pPr>
        <w:pStyle w:val="60"/>
        <w:shd w:val="clear" w:color="auto" w:fill="auto"/>
        <w:spacing w:before="0" w:after="0" w:line="482" w:lineRule="exact"/>
        <w:ind w:firstLine="540"/>
        <w:jc w:val="both"/>
        <w:rPr>
          <w:rFonts w:ascii="宋体" w:hAnsi="宋体" w:eastAsia="宋体" w:cs="Times New Roman"/>
          <w:color w:val="auto"/>
          <w:sz w:val="21"/>
          <w:szCs w:val="21"/>
        </w:rPr>
      </w:pPr>
      <w:r>
        <w:rPr>
          <w:rFonts w:ascii="宋体" w:hAnsi="宋体" w:eastAsia="宋体" w:cs="宋体"/>
          <w:color w:val="auto"/>
          <w:sz w:val="21"/>
          <w:szCs w:val="21"/>
        </w:rPr>
        <w:t>1.1.3.4</w:t>
      </w:r>
      <w:r>
        <w:rPr>
          <w:rFonts w:hint="eastAsia" w:ascii="宋体" w:hAnsi="宋体" w:eastAsia="宋体" w:cs="宋体"/>
          <w:color w:val="auto"/>
          <w:sz w:val="21"/>
          <w:szCs w:val="21"/>
        </w:rPr>
        <w:t>勘探场地：指用于工程勘探的场所，以及在合同中指定作为勘探场地组成的其他场所。</w:t>
      </w:r>
    </w:p>
    <w:p>
      <w:pPr>
        <w:pStyle w:val="60"/>
        <w:shd w:val="clear" w:color="auto" w:fill="auto"/>
        <w:spacing w:before="0" w:after="0" w:line="482" w:lineRule="exact"/>
        <w:ind w:firstLine="540"/>
        <w:jc w:val="both"/>
        <w:rPr>
          <w:rFonts w:ascii="宋体" w:hAnsi="宋体" w:eastAsia="宋体" w:cs="Times New Roman"/>
          <w:color w:val="auto"/>
          <w:sz w:val="21"/>
          <w:szCs w:val="21"/>
        </w:rPr>
      </w:pPr>
      <w:r>
        <w:rPr>
          <w:rFonts w:ascii="宋体" w:hAnsi="宋体" w:eastAsia="宋体" w:cs="宋体"/>
          <w:color w:val="auto"/>
          <w:sz w:val="21"/>
          <w:szCs w:val="21"/>
        </w:rPr>
        <w:t>1.1.3.5</w:t>
      </w:r>
      <w:r>
        <w:rPr>
          <w:rFonts w:hint="eastAsia" w:ascii="宋体" w:hAnsi="宋体" w:eastAsia="宋体" w:cs="宋体"/>
          <w:color w:val="auto"/>
          <w:sz w:val="21"/>
          <w:szCs w:val="21"/>
        </w:rPr>
        <w:t>勘察资料：是发包人按合同约定向勘察人提供的，用于完成勘察服务范围与内容所需要的资料。</w:t>
      </w:r>
    </w:p>
    <w:p>
      <w:pPr>
        <w:pStyle w:val="60"/>
        <w:shd w:val="clear" w:color="auto" w:fill="auto"/>
        <w:spacing w:before="0" w:after="0" w:line="482" w:lineRule="exact"/>
        <w:ind w:firstLine="540"/>
        <w:jc w:val="both"/>
        <w:rPr>
          <w:rFonts w:ascii="宋体" w:hAnsi="宋体" w:eastAsia="宋体" w:cs="Times New Roman"/>
          <w:color w:val="auto"/>
          <w:sz w:val="21"/>
          <w:szCs w:val="21"/>
        </w:rPr>
      </w:pPr>
      <w:r>
        <w:rPr>
          <w:rFonts w:ascii="宋体" w:hAnsi="宋体" w:eastAsia="宋体" w:cs="宋体"/>
          <w:color w:val="auto"/>
          <w:sz w:val="21"/>
          <w:szCs w:val="21"/>
        </w:rPr>
        <w:t>1.1.3.6</w:t>
      </w:r>
      <w:r>
        <w:rPr>
          <w:rFonts w:hint="eastAsia" w:ascii="宋体" w:hAnsi="宋体" w:eastAsia="宋体" w:cs="宋体"/>
          <w:color w:val="auto"/>
          <w:sz w:val="21"/>
          <w:szCs w:val="21"/>
        </w:rPr>
        <w:t>勘察文件：指勘察人按合同约定向发包人提交的工程勘察报告、服务大纲、勘察方案、外业指导书、进度计划，和其他文件等，包括阶段性文件和最终文件，且应采用合同中双方约定的格式和载体。本合同包括的具体勘察文件在专用合同条款中约定。</w:t>
      </w:r>
    </w:p>
    <w:p>
      <w:pPr>
        <w:pStyle w:val="60"/>
        <w:shd w:val="clear" w:color="auto" w:fill="auto"/>
        <w:spacing w:before="0" w:after="0" w:line="482" w:lineRule="exact"/>
        <w:ind w:firstLine="540"/>
        <w:jc w:val="both"/>
        <w:rPr>
          <w:rFonts w:ascii="宋体" w:hAnsi="宋体" w:eastAsia="宋体" w:cs="Times New Roman"/>
          <w:color w:val="auto"/>
          <w:sz w:val="21"/>
          <w:szCs w:val="21"/>
        </w:rPr>
      </w:pPr>
      <w:r>
        <w:rPr>
          <w:rFonts w:ascii="宋体" w:hAnsi="宋体" w:eastAsia="宋体" w:cs="宋体"/>
          <w:color w:val="auto"/>
          <w:sz w:val="21"/>
          <w:szCs w:val="21"/>
        </w:rPr>
        <w:t>1.1.4</w:t>
      </w:r>
      <w:r>
        <w:rPr>
          <w:rFonts w:hint="eastAsia" w:ascii="宋体" w:hAnsi="宋体" w:eastAsia="宋体" w:cs="宋体"/>
          <w:color w:val="auto"/>
          <w:sz w:val="21"/>
          <w:szCs w:val="21"/>
        </w:rPr>
        <w:t>日期</w:t>
      </w:r>
    </w:p>
    <w:p>
      <w:pPr>
        <w:pStyle w:val="60"/>
        <w:shd w:val="clear" w:color="auto" w:fill="auto"/>
        <w:spacing w:before="0" w:after="0" w:line="482" w:lineRule="exact"/>
        <w:ind w:firstLine="540"/>
        <w:jc w:val="both"/>
        <w:rPr>
          <w:rFonts w:ascii="宋体" w:hAnsi="宋体" w:eastAsia="宋体" w:cs="Times New Roman"/>
          <w:color w:val="auto"/>
          <w:sz w:val="21"/>
          <w:szCs w:val="21"/>
        </w:rPr>
      </w:pPr>
      <w:r>
        <w:rPr>
          <w:rFonts w:ascii="宋体" w:hAnsi="宋体" w:eastAsia="宋体" w:cs="宋体"/>
          <w:color w:val="auto"/>
          <w:sz w:val="21"/>
          <w:szCs w:val="21"/>
        </w:rPr>
        <w:t>1.1.4.1</w:t>
      </w:r>
      <w:r>
        <w:rPr>
          <w:rFonts w:hint="eastAsia" w:ascii="宋体" w:hAnsi="宋体" w:eastAsia="宋体" w:cs="宋体"/>
          <w:color w:val="auto"/>
          <w:sz w:val="21"/>
          <w:szCs w:val="21"/>
        </w:rPr>
        <w:t>开始勘察通知：指发包人按第</w:t>
      </w:r>
      <w:r>
        <w:rPr>
          <w:rFonts w:ascii="宋体" w:hAnsi="宋体" w:eastAsia="宋体" w:cs="宋体"/>
          <w:color w:val="auto"/>
          <w:sz w:val="21"/>
          <w:szCs w:val="21"/>
        </w:rPr>
        <w:t>6.1</w:t>
      </w:r>
      <w:r>
        <w:rPr>
          <w:rFonts w:hint="eastAsia" w:ascii="宋体" w:hAnsi="宋体" w:eastAsia="宋体" w:cs="宋体"/>
          <w:color w:val="auto"/>
          <w:sz w:val="21"/>
          <w:szCs w:val="21"/>
        </w:rPr>
        <w:t>款通知勘察人开始勘察的函件。</w:t>
      </w:r>
    </w:p>
    <w:p>
      <w:pPr>
        <w:pStyle w:val="60"/>
        <w:shd w:val="clear" w:color="auto" w:fill="auto"/>
        <w:spacing w:before="0" w:after="0" w:line="482" w:lineRule="exact"/>
        <w:ind w:firstLine="540"/>
        <w:jc w:val="both"/>
        <w:rPr>
          <w:rFonts w:ascii="宋体" w:hAnsi="宋体" w:eastAsia="宋体" w:cs="Times New Roman"/>
          <w:color w:val="auto"/>
          <w:sz w:val="21"/>
          <w:szCs w:val="21"/>
        </w:rPr>
      </w:pPr>
      <w:r>
        <w:rPr>
          <w:rFonts w:ascii="宋体" w:hAnsi="宋体" w:eastAsia="宋体" w:cs="宋体"/>
          <w:color w:val="auto"/>
          <w:sz w:val="21"/>
          <w:szCs w:val="21"/>
        </w:rPr>
        <w:t>1.1.4.2</w:t>
      </w:r>
      <w:r>
        <w:rPr>
          <w:rFonts w:hint="eastAsia" w:ascii="宋体" w:hAnsi="宋体" w:eastAsia="宋体" w:cs="宋体"/>
          <w:color w:val="auto"/>
          <w:sz w:val="21"/>
          <w:szCs w:val="21"/>
        </w:rPr>
        <w:t>开始勘察日期：指发包人按第</w:t>
      </w:r>
      <w:r>
        <w:rPr>
          <w:rFonts w:ascii="宋体" w:hAnsi="宋体" w:eastAsia="宋体" w:cs="宋体"/>
          <w:color w:val="auto"/>
          <w:sz w:val="21"/>
          <w:szCs w:val="21"/>
        </w:rPr>
        <w:t>6.1</w:t>
      </w:r>
      <w:r>
        <w:rPr>
          <w:rFonts w:hint="eastAsia" w:ascii="宋体" w:hAnsi="宋体" w:eastAsia="宋体" w:cs="宋体"/>
          <w:color w:val="auto"/>
          <w:sz w:val="21"/>
          <w:szCs w:val="21"/>
        </w:rPr>
        <w:t>款发出的开始勘察通知中写明的开始勘察日期。</w:t>
      </w:r>
    </w:p>
    <w:p>
      <w:pPr>
        <w:pStyle w:val="60"/>
        <w:shd w:val="clear" w:color="auto" w:fill="auto"/>
        <w:spacing w:before="0" w:after="0" w:line="482" w:lineRule="exact"/>
        <w:ind w:firstLine="540"/>
        <w:jc w:val="both"/>
        <w:rPr>
          <w:rFonts w:ascii="宋体" w:hAnsi="宋体" w:eastAsia="宋体" w:cs="Times New Roman"/>
          <w:color w:val="auto"/>
          <w:sz w:val="21"/>
          <w:szCs w:val="21"/>
        </w:rPr>
      </w:pPr>
      <w:r>
        <w:rPr>
          <w:rFonts w:ascii="宋体" w:hAnsi="宋体" w:eastAsia="宋体" w:cs="宋体"/>
          <w:color w:val="auto"/>
          <w:sz w:val="21"/>
          <w:szCs w:val="21"/>
        </w:rPr>
        <w:t>1.1.4.3</w:t>
      </w:r>
      <w:r>
        <w:rPr>
          <w:rFonts w:hint="eastAsia" w:ascii="宋体" w:hAnsi="宋体" w:eastAsia="宋体" w:cs="宋体"/>
          <w:color w:val="auto"/>
          <w:sz w:val="21"/>
          <w:szCs w:val="21"/>
        </w:rPr>
        <w:t>勘察服务期限：指勘察人在投标函中承诺的完成合同勘察服务所需的期限，包括按第</w:t>
      </w:r>
      <w:r>
        <w:rPr>
          <w:rFonts w:ascii="宋体" w:hAnsi="宋体" w:eastAsia="宋体" w:cs="宋体"/>
          <w:color w:val="auto"/>
          <w:sz w:val="21"/>
          <w:szCs w:val="21"/>
        </w:rPr>
        <w:t>6.2</w:t>
      </w:r>
      <w:r>
        <w:rPr>
          <w:rFonts w:hint="eastAsia" w:ascii="宋体" w:hAnsi="宋体" w:eastAsia="宋体" w:cs="宋体"/>
          <w:color w:val="auto"/>
          <w:sz w:val="21"/>
          <w:szCs w:val="21"/>
        </w:rPr>
        <w:t>款、第</w:t>
      </w:r>
      <w:r>
        <w:rPr>
          <w:rFonts w:ascii="宋体" w:hAnsi="宋体" w:eastAsia="宋体" w:cs="宋体"/>
          <w:color w:val="auto"/>
          <w:sz w:val="21"/>
          <w:szCs w:val="21"/>
        </w:rPr>
        <w:t>6.4</w:t>
      </w:r>
      <w:r>
        <w:rPr>
          <w:rFonts w:hint="eastAsia" w:ascii="宋体" w:hAnsi="宋体" w:eastAsia="宋体" w:cs="宋体"/>
          <w:color w:val="auto"/>
          <w:sz w:val="21"/>
          <w:szCs w:val="21"/>
        </w:rPr>
        <w:t>款、第</w:t>
      </w:r>
      <w:r>
        <w:rPr>
          <w:rFonts w:ascii="宋体" w:hAnsi="宋体" w:eastAsia="宋体" w:cs="宋体"/>
          <w:color w:val="auto"/>
          <w:sz w:val="21"/>
          <w:szCs w:val="21"/>
        </w:rPr>
        <w:t>6.5</w:t>
      </w:r>
      <w:r>
        <w:rPr>
          <w:rFonts w:hint="eastAsia" w:ascii="宋体" w:hAnsi="宋体" w:eastAsia="宋体" w:cs="宋体"/>
          <w:color w:val="auto"/>
          <w:sz w:val="21"/>
          <w:szCs w:val="21"/>
        </w:rPr>
        <w:t>款和第</w:t>
      </w:r>
      <w:r>
        <w:rPr>
          <w:rFonts w:ascii="宋体" w:hAnsi="宋体" w:eastAsia="宋体" w:cs="宋体"/>
          <w:color w:val="auto"/>
          <w:sz w:val="21"/>
          <w:szCs w:val="21"/>
        </w:rPr>
        <w:t>6.7</w:t>
      </w:r>
      <w:r>
        <w:rPr>
          <w:rFonts w:hint="eastAsia" w:ascii="宋体" w:hAnsi="宋体" w:eastAsia="宋体" w:cs="宋体"/>
          <w:color w:val="auto"/>
          <w:sz w:val="21"/>
          <w:szCs w:val="21"/>
        </w:rPr>
        <w:t>款约定所作的调整。</w:t>
      </w:r>
    </w:p>
    <w:p>
      <w:pPr>
        <w:pStyle w:val="60"/>
        <w:shd w:val="clear" w:color="auto" w:fill="auto"/>
        <w:spacing w:before="0" w:after="0" w:line="482" w:lineRule="exact"/>
        <w:ind w:firstLine="540"/>
        <w:jc w:val="both"/>
        <w:rPr>
          <w:rFonts w:ascii="宋体" w:hAnsi="宋体" w:eastAsia="宋体" w:cs="Times New Roman"/>
          <w:color w:val="auto"/>
          <w:sz w:val="21"/>
          <w:szCs w:val="21"/>
        </w:rPr>
      </w:pPr>
      <w:r>
        <w:rPr>
          <w:rFonts w:ascii="宋体" w:hAnsi="宋体" w:eastAsia="宋体" w:cs="宋体"/>
          <w:color w:val="auto"/>
          <w:sz w:val="21"/>
          <w:szCs w:val="21"/>
        </w:rPr>
        <w:t>1.1.4.4</w:t>
      </w:r>
      <w:r>
        <w:rPr>
          <w:rFonts w:hint="eastAsia" w:ascii="宋体" w:hAnsi="宋体" w:eastAsia="宋体" w:cs="宋体"/>
          <w:color w:val="auto"/>
          <w:sz w:val="21"/>
          <w:szCs w:val="21"/>
        </w:rPr>
        <w:t>完成勘察日期：指第</w:t>
      </w:r>
      <w:r>
        <w:rPr>
          <w:rFonts w:ascii="宋体" w:hAnsi="宋体" w:eastAsia="宋体" w:cs="宋体"/>
          <w:color w:val="auto"/>
          <w:sz w:val="21"/>
          <w:szCs w:val="21"/>
        </w:rPr>
        <w:t>1.1.4.3</w:t>
      </w:r>
      <w:r>
        <w:rPr>
          <w:rFonts w:hint="eastAsia" w:ascii="宋体" w:hAnsi="宋体" w:eastAsia="宋体" w:cs="宋体"/>
          <w:color w:val="auto"/>
          <w:sz w:val="21"/>
          <w:szCs w:val="21"/>
        </w:rPr>
        <w:t>目约定勘察服务期限届满时的日期。</w:t>
      </w:r>
    </w:p>
    <w:p>
      <w:pPr>
        <w:pStyle w:val="60"/>
        <w:shd w:val="clear" w:color="auto" w:fill="auto"/>
        <w:spacing w:before="0" w:after="0" w:line="482" w:lineRule="exact"/>
        <w:ind w:firstLine="540"/>
        <w:jc w:val="both"/>
        <w:rPr>
          <w:rFonts w:ascii="宋体" w:hAnsi="宋体" w:eastAsia="宋体" w:cs="Times New Roman"/>
          <w:color w:val="auto"/>
          <w:sz w:val="21"/>
          <w:szCs w:val="21"/>
        </w:rPr>
      </w:pPr>
      <w:r>
        <w:rPr>
          <w:rFonts w:ascii="宋体" w:hAnsi="宋体" w:eastAsia="宋体" w:cs="宋体"/>
          <w:color w:val="auto"/>
          <w:sz w:val="21"/>
          <w:szCs w:val="21"/>
        </w:rPr>
        <w:t>1.1.4.5</w:t>
      </w:r>
      <w:r>
        <w:rPr>
          <w:rFonts w:hint="eastAsia" w:ascii="宋体" w:hAnsi="宋体" w:eastAsia="宋体" w:cs="宋体"/>
          <w:color w:val="auto"/>
          <w:sz w:val="21"/>
          <w:szCs w:val="21"/>
        </w:rPr>
        <w:t>基准日：指投标截止时间前</w:t>
      </w:r>
      <w:r>
        <w:rPr>
          <w:rFonts w:ascii="宋体" w:hAnsi="宋体" w:eastAsia="宋体" w:cs="宋体"/>
          <w:color w:val="auto"/>
          <w:sz w:val="21"/>
          <w:szCs w:val="21"/>
        </w:rPr>
        <w:t>28</w:t>
      </w:r>
      <w:r>
        <w:rPr>
          <w:rFonts w:hint="eastAsia" w:ascii="宋体" w:hAnsi="宋体" w:eastAsia="宋体" w:cs="宋体"/>
          <w:color w:val="auto"/>
          <w:sz w:val="21"/>
          <w:szCs w:val="21"/>
        </w:rPr>
        <w:t>天的日期。</w:t>
      </w:r>
    </w:p>
    <w:p>
      <w:pPr>
        <w:pStyle w:val="60"/>
        <w:shd w:val="clear" w:color="auto" w:fill="auto"/>
        <w:spacing w:before="0" w:after="0" w:line="480"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1.1.4.6</w:t>
      </w:r>
      <w:r>
        <w:rPr>
          <w:rFonts w:hint="eastAsia" w:ascii="宋体" w:hAnsi="宋体" w:eastAsia="宋体" w:cs="宋体"/>
          <w:color w:val="auto"/>
          <w:sz w:val="21"/>
          <w:szCs w:val="21"/>
        </w:rPr>
        <w:t>天：除特别指明外，指日历天。合同中按天计算时间的，开始当天不计入，从次日开始计算。期限最后一天的截止时间为当天</w:t>
      </w:r>
      <w:r>
        <w:rPr>
          <w:rFonts w:ascii="宋体" w:hAnsi="宋体" w:eastAsia="宋体" w:cs="宋体"/>
          <w:color w:val="auto"/>
          <w:sz w:val="21"/>
          <w:szCs w:val="21"/>
        </w:rPr>
        <w:t>24:00</w:t>
      </w:r>
      <w:r>
        <w:rPr>
          <w:rFonts w:hint="eastAsia" w:ascii="宋体" w:hAnsi="宋体" w:eastAsia="宋体" w:cs="宋体"/>
          <w:color w:val="auto"/>
          <w:sz w:val="21"/>
          <w:szCs w:val="21"/>
        </w:rPr>
        <w:t>。</w:t>
      </w:r>
    </w:p>
    <w:p>
      <w:pPr>
        <w:pStyle w:val="60"/>
        <w:shd w:val="clear" w:color="auto" w:fill="auto"/>
        <w:spacing w:before="0" w:after="0" w:line="480"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1.1.5</w:t>
      </w:r>
      <w:r>
        <w:rPr>
          <w:rFonts w:hint="eastAsia" w:ascii="宋体" w:hAnsi="宋体" w:eastAsia="宋体" w:cs="宋体"/>
          <w:color w:val="auto"/>
          <w:sz w:val="21"/>
          <w:szCs w:val="21"/>
        </w:rPr>
        <w:t>合同价格和费用</w:t>
      </w:r>
    </w:p>
    <w:p>
      <w:pPr>
        <w:pStyle w:val="60"/>
        <w:shd w:val="clear" w:color="auto" w:fill="auto"/>
        <w:spacing w:before="0" w:after="0" w:line="480"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1.1.5.1</w:t>
      </w:r>
      <w:r>
        <w:rPr>
          <w:rFonts w:hint="eastAsia" w:ascii="宋体" w:hAnsi="宋体" w:eastAsia="宋体" w:cs="宋体"/>
          <w:color w:val="auto"/>
          <w:sz w:val="21"/>
          <w:szCs w:val="21"/>
        </w:rPr>
        <w:t>签约合同价：指签订合同时合同协议书中写明的、包括暂列金额在内的勘察费用总金额。</w:t>
      </w:r>
    </w:p>
    <w:p>
      <w:pPr>
        <w:pStyle w:val="60"/>
        <w:shd w:val="clear" w:color="auto" w:fill="auto"/>
        <w:spacing w:before="0" w:after="0" w:line="480"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1.1.5.2</w:t>
      </w:r>
      <w:r>
        <w:rPr>
          <w:rFonts w:hint="eastAsia" w:ascii="宋体" w:hAnsi="宋体" w:eastAsia="宋体" w:cs="宋体"/>
          <w:color w:val="auto"/>
          <w:sz w:val="21"/>
          <w:szCs w:val="21"/>
        </w:rPr>
        <w:t>合同价格：指勘察人按合同约定完成了全部勘察工作后，发包人应付给勘察人的金额，包括在履行合同过程中按合同约定进行的变更和调整。</w:t>
      </w:r>
    </w:p>
    <w:p>
      <w:pPr>
        <w:pStyle w:val="60"/>
        <w:shd w:val="clear" w:color="auto" w:fill="auto"/>
        <w:spacing w:before="0" w:after="0" w:line="480"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1.1.5.3</w:t>
      </w:r>
      <w:r>
        <w:rPr>
          <w:rFonts w:hint="eastAsia" w:ascii="宋体" w:hAnsi="宋体" w:eastAsia="宋体" w:cs="宋体"/>
          <w:color w:val="auto"/>
          <w:sz w:val="21"/>
          <w:szCs w:val="21"/>
        </w:rPr>
        <w:t>费用：指为履行合同所发生的或将要发生的所有合理开支，包括管理费和应分摊的其他费用，但不包括利润。</w:t>
      </w:r>
    </w:p>
    <w:p>
      <w:pPr>
        <w:pStyle w:val="60"/>
        <w:shd w:val="clear" w:color="auto" w:fill="auto"/>
        <w:spacing w:before="0" w:after="0" w:line="480"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1.1.5.4</w:t>
      </w:r>
      <w:r>
        <w:rPr>
          <w:rFonts w:hint="eastAsia" w:ascii="宋体" w:hAnsi="宋体" w:eastAsia="宋体" w:cs="宋体"/>
          <w:color w:val="auto"/>
          <w:sz w:val="21"/>
          <w:szCs w:val="21"/>
        </w:rPr>
        <w:t>暂列金额：指暂时未定的，包括在合同中，并在报价清单汇总表中以此名称标明的金额，用于进行本工程可能发生的额外勘察工作或作为不可预见费用，按照合同条款第</w:t>
      </w:r>
      <w:r>
        <w:rPr>
          <w:rFonts w:ascii="宋体" w:hAnsi="宋体" w:eastAsia="宋体" w:cs="宋体"/>
          <w:color w:val="auto"/>
          <w:sz w:val="21"/>
          <w:szCs w:val="21"/>
        </w:rPr>
        <w:t>12.5</w:t>
      </w:r>
      <w:r>
        <w:rPr>
          <w:rFonts w:hint="eastAsia" w:ascii="宋体" w:hAnsi="宋体" w:eastAsia="宋体" w:cs="宋体"/>
          <w:color w:val="auto"/>
          <w:sz w:val="21"/>
          <w:szCs w:val="21"/>
        </w:rPr>
        <w:t>款的规定使用。</w:t>
      </w:r>
    </w:p>
    <w:p>
      <w:pPr>
        <w:pStyle w:val="60"/>
        <w:shd w:val="clear" w:color="auto" w:fill="auto"/>
        <w:spacing w:before="0" w:after="0" w:line="480"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1.1.6</w:t>
      </w:r>
      <w:r>
        <w:rPr>
          <w:rFonts w:hint="eastAsia" w:ascii="宋体" w:hAnsi="宋体" w:eastAsia="宋体" w:cs="宋体"/>
          <w:color w:val="auto"/>
          <w:sz w:val="21"/>
          <w:szCs w:val="21"/>
        </w:rPr>
        <w:t>其他</w:t>
      </w:r>
    </w:p>
    <w:p>
      <w:pPr>
        <w:pStyle w:val="60"/>
        <w:shd w:val="clear" w:color="auto" w:fill="auto"/>
        <w:spacing w:before="0" w:after="0" w:line="480" w:lineRule="exact"/>
        <w:ind w:firstLine="520"/>
        <w:jc w:val="both"/>
        <w:rPr>
          <w:rFonts w:ascii="宋体" w:hAnsi="宋体" w:eastAsia="宋体" w:cs="Times New Roman"/>
          <w:color w:val="auto"/>
          <w:sz w:val="21"/>
          <w:szCs w:val="21"/>
        </w:rPr>
      </w:pPr>
      <w:r>
        <w:rPr>
          <w:rStyle w:val="67"/>
          <w:rFonts w:ascii="宋体" w:hAnsi="宋体" w:eastAsia="宋体" w:cs="宋体"/>
          <w:color w:val="auto"/>
          <w:sz w:val="21"/>
          <w:szCs w:val="21"/>
          <w:lang w:eastAsia="zh-CN"/>
        </w:rPr>
        <w:t>1</w:t>
      </w:r>
      <w:r>
        <w:rPr>
          <w:rStyle w:val="68"/>
          <w:rFonts w:ascii="宋体" w:hAnsi="宋体" w:eastAsia="宋体" w:cs="宋体"/>
          <w:color w:val="auto"/>
          <w:sz w:val="21"/>
          <w:szCs w:val="21"/>
          <w:lang w:eastAsia="zh-CN"/>
        </w:rPr>
        <w:t>.</w:t>
      </w:r>
      <w:r>
        <w:rPr>
          <w:rStyle w:val="67"/>
          <w:rFonts w:ascii="宋体" w:hAnsi="宋体" w:eastAsia="宋体" w:cs="宋体"/>
          <w:color w:val="auto"/>
          <w:sz w:val="21"/>
          <w:szCs w:val="21"/>
          <w:lang w:eastAsia="zh-CN"/>
        </w:rPr>
        <w:t>1</w:t>
      </w:r>
      <w:r>
        <w:rPr>
          <w:rStyle w:val="68"/>
          <w:rFonts w:ascii="宋体" w:hAnsi="宋体" w:eastAsia="宋体" w:cs="宋体"/>
          <w:color w:val="auto"/>
          <w:sz w:val="21"/>
          <w:szCs w:val="21"/>
          <w:lang w:eastAsia="zh-CN"/>
        </w:rPr>
        <w:t>.</w:t>
      </w:r>
      <w:r>
        <w:rPr>
          <w:rStyle w:val="67"/>
          <w:rFonts w:ascii="宋体" w:hAnsi="宋体" w:eastAsia="宋体" w:cs="宋体"/>
          <w:color w:val="auto"/>
          <w:sz w:val="21"/>
          <w:szCs w:val="21"/>
          <w:lang w:eastAsia="zh-CN"/>
        </w:rPr>
        <w:t>6.1</w:t>
      </w:r>
      <w:r>
        <w:rPr>
          <w:rFonts w:hint="eastAsia" w:ascii="宋体" w:hAnsi="宋体" w:eastAsia="宋体" w:cs="宋体"/>
          <w:color w:val="auto"/>
          <w:sz w:val="21"/>
          <w:szCs w:val="21"/>
        </w:rPr>
        <w:t>书面形式：指合同文件、信件和数据电文（包括电报、电传、传真、电子数据交换和电子邮件）等可以有形地表现所载内容的形式。</w:t>
      </w:r>
    </w:p>
    <w:p>
      <w:pPr>
        <w:pStyle w:val="60"/>
        <w:shd w:val="clear" w:color="auto" w:fill="auto"/>
        <w:spacing w:before="0" w:after="0" w:line="480" w:lineRule="exact"/>
        <w:ind w:firstLine="520"/>
        <w:jc w:val="both"/>
        <w:rPr>
          <w:rFonts w:ascii="宋体" w:hAnsi="宋体" w:eastAsia="宋体" w:cs="Times New Roman"/>
          <w:color w:val="auto"/>
          <w:sz w:val="21"/>
          <w:szCs w:val="21"/>
        </w:rPr>
      </w:pPr>
      <w:r>
        <w:rPr>
          <w:rStyle w:val="67"/>
          <w:rFonts w:ascii="宋体" w:hAnsi="宋体" w:eastAsia="宋体" w:cs="宋体"/>
          <w:color w:val="auto"/>
          <w:sz w:val="21"/>
          <w:szCs w:val="21"/>
          <w:lang w:eastAsia="zh-CN"/>
        </w:rPr>
        <w:t>1</w:t>
      </w:r>
      <w:r>
        <w:rPr>
          <w:rStyle w:val="68"/>
          <w:rFonts w:ascii="宋体" w:hAnsi="宋体" w:eastAsia="宋体" w:cs="宋体"/>
          <w:color w:val="auto"/>
          <w:sz w:val="21"/>
          <w:szCs w:val="21"/>
          <w:lang w:eastAsia="zh-CN"/>
        </w:rPr>
        <w:t>.</w:t>
      </w:r>
      <w:r>
        <w:rPr>
          <w:rStyle w:val="67"/>
          <w:rFonts w:ascii="宋体" w:hAnsi="宋体" w:eastAsia="宋体" w:cs="宋体"/>
          <w:color w:val="auto"/>
          <w:sz w:val="21"/>
          <w:szCs w:val="21"/>
          <w:lang w:eastAsia="zh-CN"/>
        </w:rPr>
        <w:t>1</w:t>
      </w:r>
      <w:r>
        <w:rPr>
          <w:rStyle w:val="68"/>
          <w:rFonts w:ascii="宋体" w:hAnsi="宋体" w:eastAsia="宋体" w:cs="宋体"/>
          <w:color w:val="auto"/>
          <w:sz w:val="21"/>
          <w:szCs w:val="21"/>
          <w:lang w:eastAsia="zh-CN"/>
        </w:rPr>
        <w:t>.</w:t>
      </w:r>
      <w:r>
        <w:rPr>
          <w:rStyle w:val="67"/>
          <w:rFonts w:ascii="宋体" w:hAnsi="宋体" w:eastAsia="宋体" w:cs="宋体"/>
          <w:color w:val="auto"/>
          <w:sz w:val="21"/>
          <w:szCs w:val="21"/>
          <w:lang w:eastAsia="zh-CN"/>
        </w:rPr>
        <w:t>6.2</w:t>
      </w:r>
      <w:r>
        <w:rPr>
          <w:rFonts w:hint="eastAsia" w:ascii="宋体" w:hAnsi="宋体" w:eastAsia="宋体" w:cs="宋体"/>
          <w:color w:val="auto"/>
          <w:sz w:val="21"/>
          <w:szCs w:val="21"/>
        </w:rPr>
        <w:t>勘察质量事故：指在缺陷责任期结束前，由于勘察原因使工程不满足技术标准及设计要求，并造成结构损毁或一定直接经济损失的事故。</w:t>
      </w:r>
    </w:p>
    <w:p>
      <w:pPr>
        <w:pStyle w:val="60"/>
        <w:shd w:val="clear" w:color="auto" w:fill="auto"/>
        <w:spacing w:before="0" w:after="0" w:line="480" w:lineRule="exact"/>
        <w:ind w:firstLine="520"/>
        <w:jc w:val="left"/>
        <w:rPr>
          <w:rFonts w:ascii="宋体" w:hAnsi="宋体" w:eastAsia="宋体" w:cs="Times New Roman"/>
          <w:color w:val="auto"/>
          <w:sz w:val="21"/>
          <w:szCs w:val="21"/>
        </w:rPr>
      </w:pPr>
      <w:r>
        <w:rPr>
          <w:rFonts w:hint="eastAsia" w:ascii="宋体" w:hAnsi="宋体" w:eastAsia="宋体" w:cs="宋体"/>
          <w:color w:val="auto"/>
          <w:sz w:val="21"/>
          <w:szCs w:val="21"/>
        </w:rPr>
        <w:t>根据直接经济损失或工程结构损毁情况（自然灾害所致除外），勘察质量事故分为特别重大质量事故、重大质量事故、较大质量事故和一般质量事故四个等级，上述质量事故的界定按交通运输部《公路水运建设工程质量事故等级划分和报告制度》规定执行。</w:t>
      </w:r>
    </w:p>
    <w:p>
      <w:pPr>
        <w:pStyle w:val="69"/>
        <w:shd w:val="clear" w:color="auto" w:fill="auto"/>
        <w:spacing w:before="0" w:line="480"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1.2</w:t>
      </w:r>
      <w:r>
        <w:rPr>
          <w:rFonts w:hint="eastAsia" w:ascii="宋体" w:hAnsi="宋体" w:eastAsia="宋体" w:cs="宋体"/>
          <w:color w:val="auto"/>
          <w:sz w:val="21"/>
          <w:szCs w:val="21"/>
        </w:rPr>
        <w:t>语言文字</w:t>
      </w:r>
    </w:p>
    <w:p>
      <w:pPr>
        <w:pStyle w:val="60"/>
        <w:shd w:val="clear" w:color="auto" w:fill="auto"/>
        <w:spacing w:before="0" w:after="0" w:line="480" w:lineRule="exact"/>
        <w:ind w:firstLine="520"/>
        <w:jc w:val="both"/>
        <w:rPr>
          <w:rFonts w:ascii="宋体" w:hAnsi="宋体" w:eastAsia="宋体" w:cs="Times New Roman"/>
          <w:color w:val="auto"/>
          <w:sz w:val="21"/>
          <w:szCs w:val="21"/>
        </w:rPr>
      </w:pPr>
      <w:r>
        <w:rPr>
          <w:rFonts w:hint="eastAsia" w:ascii="宋体" w:hAnsi="宋体" w:eastAsia="宋体" w:cs="宋体"/>
          <w:color w:val="auto"/>
          <w:sz w:val="21"/>
          <w:szCs w:val="21"/>
        </w:rPr>
        <w:t>合同使用的语言文字为中文。专用术语使用外文的，应附有中文注释。</w:t>
      </w:r>
    </w:p>
    <w:p>
      <w:pPr>
        <w:pStyle w:val="69"/>
        <w:shd w:val="clear" w:color="auto" w:fill="auto"/>
        <w:spacing w:before="0" w:line="480"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1.3</w:t>
      </w:r>
      <w:r>
        <w:rPr>
          <w:rFonts w:hint="eastAsia" w:ascii="宋体" w:hAnsi="宋体" w:eastAsia="宋体" w:cs="宋体"/>
          <w:color w:val="auto"/>
          <w:sz w:val="21"/>
          <w:szCs w:val="21"/>
        </w:rPr>
        <w:t>适用法律</w:t>
      </w:r>
    </w:p>
    <w:p>
      <w:pPr>
        <w:pStyle w:val="60"/>
        <w:shd w:val="clear" w:color="auto" w:fill="auto"/>
        <w:spacing w:before="0" w:after="0" w:line="480" w:lineRule="exact"/>
        <w:ind w:firstLine="520"/>
        <w:jc w:val="both"/>
        <w:rPr>
          <w:rFonts w:ascii="宋体" w:hAnsi="宋体" w:eastAsia="宋体" w:cs="Times New Roman"/>
          <w:color w:val="auto"/>
          <w:sz w:val="21"/>
          <w:szCs w:val="21"/>
        </w:rPr>
      </w:pPr>
      <w:r>
        <w:rPr>
          <w:rFonts w:hint="eastAsia" w:ascii="宋体" w:hAnsi="宋体" w:eastAsia="宋体" w:cs="宋体"/>
          <w:color w:val="auto"/>
          <w:sz w:val="21"/>
          <w:szCs w:val="21"/>
        </w:rPr>
        <w:t>适用于合同的法律包括中华人民共和国法律、行政法规、部门规章，以及工程所在地的地方法规、自治条例、单行条例和地方政府规章。</w:t>
      </w:r>
    </w:p>
    <w:p>
      <w:pPr>
        <w:pStyle w:val="60"/>
        <w:shd w:val="clear" w:color="auto" w:fill="auto"/>
        <w:spacing w:before="0" w:after="0" w:line="480" w:lineRule="exact"/>
        <w:ind w:firstLine="520"/>
        <w:jc w:val="both"/>
        <w:rPr>
          <w:rFonts w:ascii="宋体" w:hAnsi="宋体" w:eastAsia="宋体" w:cs="Times New Roman"/>
          <w:color w:val="auto"/>
          <w:sz w:val="21"/>
          <w:szCs w:val="21"/>
        </w:rPr>
      </w:pPr>
      <w:r>
        <w:rPr>
          <w:rFonts w:hint="eastAsia" w:ascii="宋体" w:hAnsi="宋体" w:eastAsia="宋体" w:cs="宋体"/>
          <w:color w:val="auto"/>
          <w:sz w:val="21"/>
          <w:szCs w:val="21"/>
        </w:rPr>
        <w:t>本合同适用的其他规范性文件，可在专用合同条款中约定。</w:t>
      </w:r>
    </w:p>
    <w:p>
      <w:pPr>
        <w:pStyle w:val="69"/>
        <w:shd w:val="clear" w:color="auto" w:fill="auto"/>
        <w:spacing w:before="0" w:line="480"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1.4</w:t>
      </w:r>
      <w:r>
        <w:rPr>
          <w:rFonts w:hint="eastAsia" w:ascii="宋体" w:hAnsi="宋体" w:eastAsia="宋体" w:cs="宋体"/>
          <w:color w:val="auto"/>
          <w:sz w:val="21"/>
          <w:szCs w:val="21"/>
        </w:rPr>
        <w:t>合同文件的优先顺序</w:t>
      </w:r>
    </w:p>
    <w:p>
      <w:pPr>
        <w:pStyle w:val="69"/>
        <w:shd w:val="clear" w:color="auto" w:fill="auto"/>
        <w:spacing w:before="0" w:line="480" w:lineRule="exact"/>
        <w:ind w:firstLine="520"/>
        <w:jc w:val="both"/>
        <w:rPr>
          <w:rFonts w:ascii="宋体" w:hAnsi="宋体" w:eastAsia="宋体" w:cs="Times New Roman"/>
          <w:color w:val="auto"/>
          <w:sz w:val="21"/>
          <w:szCs w:val="21"/>
        </w:rPr>
      </w:pPr>
      <w:r>
        <w:rPr>
          <w:rFonts w:hint="eastAsia" w:ascii="宋体" w:hAnsi="宋体" w:eastAsia="宋体" w:cs="宋体"/>
          <w:b w:val="0"/>
          <w:bCs w:val="0"/>
          <w:color w:val="auto"/>
          <w:spacing w:val="0"/>
          <w:sz w:val="21"/>
          <w:szCs w:val="21"/>
        </w:rPr>
        <w:t>组成合同的各项文件应互相解释，互为说明。除专用合同条款另有约定外，解释合同文件的优先顺序如下：</w:t>
      </w:r>
    </w:p>
    <w:p>
      <w:pPr>
        <w:pStyle w:val="60"/>
        <w:numPr>
          <w:ilvl w:val="0"/>
          <w:numId w:val="3"/>
        </w:numPr>
        <w:shd w:val="clear" w:color="auto" w:fill="auto"/>
        <w:tabs>
          <w:tab w:val="left" w:pos="1134"/>
        </w:tabs>
        <w:spacing w:before="0" w:after="0" w:line="478" w:lineRule="exact"/>
        <w:ind w:firstLine="640"/>
        <w:jc w:val="left"/>
        <w:rPr>
          <w:rFonts w:ascii="宋体" w:hAnsi="宋体" w:eastAsia="宋体" w:cs="Times New Roman"/>
          <w:color w:val="auto"/>
          <w:sz w:val="21"/>
          <w:szCs w:val="21"/>
        </w:rPr>
      </w:pPr>
      <w:r>
        <w:rPr>
          <w:rFonts w:hint="eastAsia" w:ascii="宋体" w:hAnsi="宋体" w:eastAsia="宋体" w:cs="宋体"/>
          <w:color w:val="auto"/>
          <w:sz w:val="21"/>
          <w:szCs w:val="21"/>
        </w:rPr>
        <w:t>合同协议书及各种合同附件</w:t>
      </w:r>
      <w:r>
        <w:rPr>
          <w:rFonts w:ascii="宋体" w:hAnsi="宋体" w:eastAsia="宋体" w:cs="宋体"/>
          <w:color w:val="auto"/>
          <w:sz w:val="21"/>
          <w:szCs w:val="21"/>
        </w:rPr>
        <w:t>(</w:t>
      </w:r>
      <w:r>
        <w:rPr>
          <w:rFonts w:hint="eastAsia" w:ascii="宋体" w:hAnsi="宋体" w:eastAsia="宋体" w:cs="宋体"/>
          <w:color w:val="auto"/>
          <w:sz w:val="21"/>
          <w:szCs w:val="21"/>
        </w:rPr>
        <w:t>含评标期间和合同谈判过程中的澄清文件和补充资料；勘察人提交的经发包人审核通过的勘察详细工作大纲及进度计划、专题研究详细工作大纲等</w:t>
      </w:r>
      <w:r>
        <w:rPr>
          <w:rFonts w:ascii="宋体" w:hAnsi="宋体" w:eastAsia="宋体" w:cs="宋体"/>
          <w:color w:val="auto"/>
          <w:sz w:val="21"/>
          <w:szCs w:val="21"/>
        </w:rPr>
        <w:t>)</w:t>
      </w:r>
      <w:r>
        <w:rPr>
          <w:rFonts w:hint="eastAsia" w:ascii="宋体" w:hAnsi="宋体" w:eastAsia="宋体" w:cs="宋体"/>
          <w:color w:val="auto"/>
          <w:sz w:val="21"/>
          <w:szCs w:val="21"/>
        </w:rPr>
        <w:t>；</w:t>
      </w:r>
    </w:p>
    <w:p>
      <w:pPr>
        <w:pStyle w:val="60"/>
        <w:numPr>
          <w:ilvl w:val="0"/>
          <w:numId w:val="3"/>
        </w:numPr>
        <w:shd w:val="clear" w:color="auto" w:fill="auto"/>
        <w:tabs>
          <w:tab w:val="left" w:pos="1169"/>
        </w:tabs>
        <w:spacing w:before="0" w:after="0" w:line="478" w:lineRule="exact"/>
        <w:ind w:firstLine="640"/>
        <w:jc w:val="left"/>
        <w:rPr>
          <w:rFonts w:ascii="宋体" w:hAnsi="宋体" w:eastAsia="宋体" w:cs="Times New Roman"/>
          <w:color w:val="auto"/>
          <w:sz w:val="21"/>
          <w:szCs w:val="21"/>
        </w:rPr>
      </w:pPr>
      <w:r>
        <w:rPr>
          <w:rFonts w:hint="eastAsia" w:ascii="宋体" w:hAnsi="宋体" w:eastAsia="宋体" w:cs="宋体"/>
          <w:color w:val="auto"/>
          <w:sz w:val="21"/>
          <w:szCs w:val="21"/>
        </w:rPr>
        <w:t>中标通知书；</w:t>
      </w:r>
    </w:p>
    <w:p>
      <w:pPr>
        <w:pStyle w:val="60"/>
        <w:numPr>
          <w:ilvl w:val="0"/>
          <w:numId w:val="3"/>
        </w:numPr>
        <w:shd w:val="clear" w:color="auto" w:fill="auto"/>
        <w:tabs>
          <w:tab w:val="left" w:pos="1169"/>
        </w:tabs>
        <w:spacing w:before="0" w:after="0" w:line="478" w:lineRule="exact"/>
        <w:ind w:firstLine="640"/>
        <w:jc w:val="left"/>
        <w:rPr>
          <w:rFonts w:ascii="宋体" w:hAnsi="宋体" w:eastAsia="宋体" w:cs="Times New Roman"/>
          <w:color w:val="auto"/>
          <w:sz w:val="21"/>
          <w:szCs w:val="21"/>
        </w:rPr>
      </w:pPr>
      <w:r>
        <w:rPr>
          <w:rFonts w:hint="eastAsia" w:ascii="宋体" w:hAnsi="宋体" w:eastAsia="宋体" w:cs="宋体"/>
          <w:color w:val="auto"/>
          <w:sz w:val="21"/>
          <w:szCs w:val="21"/>
        </w:rPr>
        <w:t>投标函；</w:t>
      </w:r>
    </w:p>
    <w:p>
      <w:pPr>
        <w:pStyle w:val="60"/>
        <w:numPr>
          <w:ilvl w:val="0"/>
          <w:numId w:val="3"/>
        </w:numPr>
        <w:shd w:val="clear" w:color="auto" w:fill="auto"/>
        <w:tabs>
          <w:tab w:val="left" w:pos="1169"/>
        </w:tabs>
        <w:spacing w:before="0" w:after="0" w:line="478" w:lineRule="exact"/>
        <w:ind w:firstLine="640"/>
        <w:jc w:val="left"/>
        <w:rPr>
          <w:rFonts w:ascii="宋体" w:hAnsi="宋体" w:eastAsia="宋体" w:cs="Times New Roman"/>
          <w:color w:val="auto"/>
          <w:sz w:val="21"/>
          <w:szCs w:val="21"/>
        </w:rPr>
      </w:pPr>
      <w:r>
        <w:rPr>
          <w:rFonts w:hint="eastAsia" w:ascii="宋体" w:hAnsi="宋体" w:eastAsia="宋体" w:cs="宋体"/>
          <w:color w:val="auto"/>
          <w:sz w:val="21"/>
          <w:szCs w:val="21"/>
        </w:rPr>
        <w:t>专用合同条款；</w:t>
      </w:r>
    </w:p>
    <w:p>
      <w:pPr>
        <w:pStyle w:val="60"/>
        <w:numPr>
          <w:ilvl w:val="0"/>
          <w:numId w:val="3"/>
        </w:numPr>
        <w:shd w:val="clear" w:color="auto" w:fill="auto"/>
        <w:tabs>
          <w:tab w:val="left" w:pos="1169"/>
        </w:tabs>
        <w:spacing w:before="0" w:after="0" w:line="478" w:lineRule="exact"/>
        <w:ind w:firstLine="640"/>
        <w:jc w:val="left"/>
        <w:rPr>
          <w:rFonts w:ascii="宋体" w:hAnsi="宋体" w:eastAsia="宋体" w:cs="Times New Roman"/>
          <w:color w:val="auto"/>
          <w:sz w:val="21"/>
          <w:szCs w:val="21"/>
        </w:rPr>
      </w:pPr>
      <w:r>
        <w:rPr>
          <w:rFonts w:hint="eastAsia" w:ascii="宋体" w:hAnsi="宋体" w:eastAsia="宋体" w:cs="宋体"/>
          <w:color w:val="auto"/>
          <w:sz w:val="21"/>
          <w:szCs w:val="21"/>
        </w:rPr>
        <w:t>通用合同条款；</w:t>
      </w:r>
    </w:p>
    <w:p>
      <w:pPr>
        <w:pStyle w:val="60"/>
        <w:numPr>
          <w:ilvl w:val="0"/>
          <w:numId w:val="3"/>
        </w:numPr>
        <w:shd w:val="clear" w:color="auto" w:fill="auto"/>
        <w:tabs>
          <w:tab w:val="left" w:pos="1169"/>
        </w:tabs>
        <w:spacing w:before="0" w:after="0" w:line="478" w:lineRule="exact"/>
        <w:ind w:firstLine="640"/>
        <w:jc w:val="left"/>
        <w:rPr>
          <w:rFonts w:ascii="宋体" w:hAnsi="宋体" w:eastAsia="宋体" w:cs="Times New Roman"/>
          <w:color w:val="auto"/>
          <w:sz w:val="21"/>
          <w:szCs w:val="21"/>
        </w:rPr>
      </w:pPr>
      <w:r>
        <w:rPr>
          <w:rFonts w:hint="eastAsia" w:ascii="宋体" w:hAnsi="宋体" w:eastAsia="宋体" w:cs="宋体"/>
          <w:color w:val="auto"/>
          <w:sz w:val="21"/>
          <w:szCs w:val="21"/>
        </w:rPr>
        <w:t>发包人要求；</w:t>
      </w:r>
    </w:p>
    <w:p>
      <w:pPr>
        <w:pStyle w:val="60"/>
        <w:numPr>
          <w:ilvl w:val="0"/>
          <w:numId w:val="3"/>
        </w:numPr>
        <w:shd w:val="clear" w:color="auto" w:fill="auto"/>
        <w:tabs>
          <w:tab w:val="left" w:pos="1169"/>
        </w:tabs>
        <w:spacing w:before="0" w:after="0" w:line="478" w:lineRule="exact"/>
        <w:ind w:firstLine="640"/>
        <w:jc w:val="left"/>
        <w:rPr>
          <w:rFonts w:ascii="宋体" w:hAnsi="宋体" w:eastAsia="宋体" w:cs="Times New Roman"/>
          <w:color w:val="auto"/>
          <w:sz w:val="21"/>
          <w:szCs w:val="21"/>
        </w:rPr>
      </w:pPr>
      <w:r>
        <w:rPr>
          <w:rFonts w:hint="eastAsia" w:ascii="宋体" w:hAnsi="宋体" w:eastAsia="宋体" w:cs="宋体"/>
          <w:color w:val="auto"/>
          <w:sz w:val="21"/>
          <w:szCs w:val="21"/>
        </w:rPr>
        <w:t>勘察费用清单；</w:t>
      </w:r>
    </w:p>
    <w:p>
      <w:pPr>
        <w:pStyle w:val="60"/>
        <w:numPr>
          <w:ilvl w:val="0"/>
          <w:numId w:val="3"/>
        </w:numPr>
        <w:shd w:val="clear" w:color="auto" w:fill="auto"/>
        <w:tabs>
          <w:tab w:val="left" w:pos="1169"/>
        </w:tabs>
        <w:spacing w:before="0" w:after="0" w:line="478" w:lineRule="exact"/>
        <w:ind w:firstLine="640"/>
        <w:jc w:val="left"/>
        <w:rPr>
          <w:rFonts w:ascii="宋体" w:hAnsi="宋体" w:eastAsia="宋体" w:cs="Times New Roman"/>
          <w:color w:val="auto"/>
          <w:sz w:val="21"/>
          <w:szCs w:val="21"/>
        </w:rPr>
      </w:pPr>
      <w:r>
        <w:rPr>
          <w:rFonts w:hint="eastAsia" w:ascii="宋体" w:hAnsi="宋体" w:eastAsia="宋体" w:cs="宋体"/>
          <w:color w:val="auto"/>
          <w:sz w:val="21"/>
          <w:szCs w:val="21"/>
        </w:rPr>
        <w:t>勘察人有关人员投入的承诺；</w:t>
      </w:r>
    </w:p>
    <w:p>
      <w:pPr>
        <w:pStyle w:val="60"/>
        <w:numPr>
          <w:ilvl w:val="0"/>
          <w:numId w:val="3"/>
        </w:numPr>
        <w:shd w:val="clear" w:color="auto" w:fill="auto"/>
        <w:tabs>
          <w:tab w:val="left" w:pos="1169"/>
        </w:tabs>
        <w:spacing w:before="0" w:after="0" w:line="478" w:lineRule="exact"/>
        <w:ind w:firstLine="640"/>
        <w:jc w:val="left"/>
        <w:rPr>
          <w:rFonts w:ascii="宋体" w:hAnsi="宋体" w:eastAsia="宋体" w:cs="Times New Roman"/>
          <w:color w:val="auto"/>
          <w:sz w:val="21"/>
          <w:szCs w:val="21"/>
        </w:rPr>
      </w:pPr>
      <w:r>
        <w:rPr>
          <w:rFonts w:hint="eastAsia" w:ascii="宋体" w:hAnsi="宋体" w:eastAsia="宋体" w:cs="宋体"/>
          <w:color w:val="auto"/>
          <w:sz w:val="21"/>
          <w:szCs w:val="21"/>
        </w:rPr>
        <w:t>其他合同文件。</w:t>
      </w:r>
    </w:p>
    <w:p>
      <w:pPr>
        <w:pStyle w:val="69"/>
        <w:shd w:val="clear" w:color="auto" w:fill="auto"/>
        <w:spacing w:before="0" w:line="478"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lang w:eastAsia="en-US"/>
        </w:rPr>
        <w:t>1.5</w:t>
      </w:r>
      <w:r>
        <w:rPr>
          <w:rFonts w:hint="eastAsia" w:ascii="宋体" w:hAnsi="宋体" w:eastAsia="宋体" w:cs="宋体"/>
          <w:color w:val="auto"/>
          <w:sz w:val="21"/>
          <w:szCs w:val="21"/>
        </w:rPr>
        <w:t>合同协议书</w:t>
      </w:r>
    </w:p>
    <w:p>
      <w:pPr>
        <w:pStyle w:val="60"/>
        <w:shd w:val="clear" w:color="auto" w:fill="auto"/>
        <w:spacing w:before="0" w:after="0" w:line="478" w:lineRule="exact"/>
        <w:ind w:firstLine="520"/>
        <w:jc w:val="both"/>
        <w:rPr>
          <w:rFonts w:ascii="宋体" w:hAnsi="宋体" w:eastAsia="宋体" w:cs="Times New Roman"/>
          <w:color w:val="auto"/>
          <w:sz w:val="21"/>
          <w:szCs w:val="21"/>
        </w:rPr>
      </w:pPr>
      <w:r>
        <w:rPr>
          <w:rFonts w:hint="eastAsia" w:ascii="宋体" w:hAnsi="宋体" w:eastAsia="宋体" w:cs="宋体"/>
          <w:color w:val="auto"/>
          <w:sz w:val="21"/>
          <w:szCs w:val="21"/>
        </w:rPr>
        <w:t>勘察人按中标通知书规定的时间与发包人签订合同协议书。除法律另有规定或合同另有约定外，发包人和勘察人的法定代表人或其委托代理人在合同协议书上签字并盖单位章后，合同生效。</w:t>
      </w:r>
    </w:p>
    <w:p>
      <w:pPr>
        <w:pStyle w:val="69"/>
        <w:shd w:val="clear" w:color="auto" w:fill="auto"/>
        <w:spacing w:before="0" w:line="478"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lang w:eastAsia="en-US"/>
        </w:rPr>
        <w:t>1.6</w:t>
      </w:r>
      <w:r>
        <w:rPr>
          <w:rFonts w:hint="eastAsia" w:ascii="宋体" w:hAnsi="宋体" w:eastAsia="宋体" w:cs="宋体"/>
          <w:color w:val="auto"/>
          <w:sz w:val="21"/>
          <w:szCs w:val="21"/>
        </w:rPr>
        <w:t>文件的提供和照管</w:t>
      </w:r>
    </w:p>
    <w:p>
      <w:pPr>
        <w:pStyle w:val="60"/>
        <w:shd w:val="clear" w:color="auto" w:fill="auto"/>
        <w:spacing w:before="0" w:after="0" w:line="478"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lang w:eastAsia="en-US"/>
        </w:rPr>
        <w:t>1.6.1</w:t>
      </w:r>
      <w:r>
        <w:rPr>
          <w:rFonts w:hint="eastAsia" w:ascii="宋体" w:hAnsi="宋体" w:eastAsia="宋体" w:cs="宋体"/>
          <w:color w:val="auto"/>
          <w:sz w:val="21"/>
          <w:szCs w:val="21"/>
        </w:rPr>
        <w:t>勘察文件的提供</w:t>
      </w:r>
    </w:p>
    <w:p>
      <w:pPr>
        <w:pStyle w:val="60"/>
        <w:shd w:val="clear" w:color="auto" w:fill="auto"/>
        <w:spacing w:before="0" w:after="0" w:line="478" w:lineRule="exact"/>
        <w:ind w:firstLine="520"/>
        <w:jc w:val="both"/>
        <w:rPr>
          <w:rFonts w:ascii="宋体" w:hAnsi="宋体" w:eastAsia="宋体" w:cs="Times New Roman"/>
          <w:color w:val="auto"/>
          <w:sz w:val="21"/>
          <w:szCs w:val="21"/>
        </w:rPr>
      </w:pPr>
      <w:r>
        <w:rPr>
          <w:rFonts w:hint="eastAsia" w:ascii="宋体" w:hAnsi="宋体" w:eastAsia="宋体" w:cs="宋体"/>
          <w:color w:val="auto"/>
          <w:sz w:val="21"/>
          <w:szCs w:val="21"/>
        </w:rPr>
        <w:t>除专用合同条款另有约定外，勘察人应在合理的期限内按照合同约定的数量向发包人提供勘察文件。合同约定勘察文件应经发包人批复的，发包人应在合同约定的期限内批复或提出修改意见。</w:t>
      </w:r>
    </w:p>
    <w:p>
      <w:pPr>
        <w:pStyle w:val="60"/>
        <w:shd w:val="clear" w:color="auto" w:fill="auto"/>
        <w:spacing w:before="0" w:after="0" w:line="478" w:lineRule="exact"/>
        <w:ind w:firstLine="520"/>
        <w:jc w:val="both"/>
        <w:rPr>
          <w:rFonts w:ascii="宋体" w:hAnsi="宋体" w:eastAsia="宋体" w:cs="Times New Roman"/>
          <w:color w:val="auto"/>
          <w:sz w:val="21"/>
          <w:szCs w:val="21"/>
        </w:rPr>
      </w:pPr>
      <w:r>
        <w:rPr>
          <w:rStyle w:val="67"/>
          <w:rFonts w:ascii="宋体" w:hAnsi="宋体" w:eastAsia="宋体" w:cs="宋体"/>
          <w:color w:val="auto"/>
          <w:sz w:val="21"/>
          <w:szCs w:val="21"/>
          <w:lang w:eastAsia="zh-CN"/>
        </w:rPr>
        <w:t>1</w:t>
      </w:r>
      <w:r>
        <w:rPr>
          <w:rStyle w:val="68"/>
          <w:rFonts w:ascii="宋体" w:hAnsi="宋体" w:eastAsia="宋体" w:cs="宋体"/>
          <w:color w:val="auto"/>
          <w:sz w:val="21"/>
          <w:szCs w:val="21"/>
          <w:lang w:eastAsia="zh-CN"/>
        </w:rPr>
        <w:t>.</w:t>
      </w:r>
      <w:r>
        <w:rPr>
          <w:rStyle w:val="67"/>
          <w:rFonts w:ascii="宋体" w:hAnsi="宋体" w:eastAsia="宋体" w:cs="宋体"/>
          <w:color w:val="auto"/>
          <w:sz w:val="21"/>
          <w:szCs w:val="21"/>
          <w:lang w:eastAsia="zh-CN"/>
        </w:rPr>
        <w:t>6.2</w:t>
      </w:r>
      <w:r>
        <w:rPr>
          <w:rFonts w:hint="eastAsia" w:ascii="宋体" w:hAnsi="宋体" w:eastAsia="宋体" w:cs="宋体"/>
          <w:color w:val="auto"/>
          <w:sz w:val="21"/>
          <w:szCs w:val="21"/>
        </w:rPr>
        <w:t>发包人提供的文件</w:t>
      </w:r>
    </w:p>
    <w:p>
      <w:pPr>
        <w:pStyle w:val="60"/>
        <w:shd w:val="clear" w:color="auto" w:fill="auto"/>
        <w:spacing w:before="0" w:after="0" w:line="478" w:lineRule="exact"/>
        <w:ind w:firstLine="520"/>
        <w:jc w:val="left"/>
        <w:rPr>
          <w:rFonts w:ascii="宋体" w:hAnsi="宋体" w:eastAsia="宋体" w:cs="Times New Roman"/>
          <w:color w:val="auto"/>
          <w:sz w:val="21"/>
          <w:szCs w:val="21"/>
        </w:rPr>
      </w:pPr>
      <w:r>
        <w:rPr>
          <w:rFonts w:hint="eastAsia" w:ascii="宋体" w:hAnsi="宋体" w:eastAsia="宋体" w:cs="宋体"/>
          <w:color w:val="auto"/>
          <w:sz w:val="21"/>
          <w:szCs w:val="21"/>
        </w:rPr>
        <w:t>按专用合同条款约定由发包人提供的文件，包括基础资料、勘察任务书等，发包人应按约定的数量和期限交给勘察人。由于发包人未按时提供文件造成勘察服务期限延误的，按第</w:t>
      </w:r>
      <w:r>
        <w:rPr>
          <w:rFonts w:ascii="宋体" w:hAnsi="宋体" w:eastAsia="宋体" w:cs="宋体"/>
          <w:color w:val="auto"/>
          <w:sz w:val="21"/>
          <w:szCs w:val="21"/>
        </w:rPr>
        <w:t>6.2</w:t>
      </w:r>
      <w:r>
        <w:rPr>
          <w:rFonts w:hint="eastAsia" w:ascii="宋体" w:hAnsi="宋体" w:eastAsia="宋体" w:cs="宋体"/>
          <w:color w:val="auto"/>
          <w:sz w:val="21"/>
          <w:szCs w:val="21"/>
        </w:rPr>
        <w:t>款约定执行。</w:t>
      </w:r>
    </w:p>
    <w:p>
      <w:pPr>
        <w:pStyle w:val="60"/>
        <w:shd w:val="clear" w:color="auto" w:fill="auto"/>
        <w:spacing w:before="0" w:after="0" w:line="478"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1.6.3</w:t>
      </w:r>
      <w:r>
        <w:rPr>
          <w:rFonts w:hint="eastAsia" w:ascii="宋体" w:hAnsi="宋体" w:eastAsia="宋体" w:cs="宋体"/>
          <w:color w:val="auto"/>
          <w:sz w:val="21"/>
          <w:szCs w:val="21"/>
        </w:rPr>
        <w:t>文件错误的通知</w:t>
      </w:r>
    </w:p>
    <w:p>
      <w:pPr>
        <w:pStyle w:val="60"/>
        <w:shd w:val="clear" w:color="auto" w:fill="auto"/>
        <w:spacing w:before="0" w:after="0" w:line="478" w:lineRule="exact"/>
        <w:ind w:firstLine="520"/>
        <w:jc w:val="both"/>
        <w:rPr>
          <w:rFonts w:ascii="宋体" w:hAnsi="宋体" w:eastAsia="宋体" w:cs="Times New Roman"/>
          <w:color w:val="auto"/>
          <w:sz w:val="21"/>
          <w:szCs w:val="21"/>
        </w:rPr>
      </w:pPr>
      <w:r>
        <w:rPr>
          <w:rFonts w:hint="eastAsia" w:ascii="宋体" w:hAnsi="宋体" w:eastAsia="宋体" w:cs="宋体"/>
          <w:color w:val="auto"/>
          <w:sz w:val="21"/>
          <w:szCs w:val="21"/>
        </w:rPr>
        <w:t>任何一方当事人发现文件中存在的明显错误或疏忽，均应及时通知对方当事人，并应立即采取适当的措施防止损失扩大。</w:t>
      </w:r>
    </w:p>
    <w:p>
      <w:pPr>
        <w:pStyle w:val="64"/>
        <w:keepNext/>
        <w:keepLines/>
        <w:shd w:val="clear" w:color="auto" w:fill="auto"/>
        <w:spacing w:line="480" w:lineRule="exact"/>
        <w:ind w:firstLine="520"/>
        <w:rPr>
          <w:rFonts w:ascii="宋体" w:hAnsi="宋体" w:eastAsia="宋体" w:cs="Times New Roman"/>
          <w:color w:val="auto"/>
          <w:sz w:val="21"/>
          <w:szCs w:val="21"/>
        </w:rPr>
      </w:pPr>
      <w:bookmarkStart w:id="5" w:name="bookmark99"/>
      <w:r>
        <w:rPr>
          <w:rFonts w:ascii="宋体" w:hAnsi="宋体" w:eastAsia="宋体" w:cs="宋体"/>
          <w:color w:val="auto"/>
          <w:sz w:val="21"/>
          <w:szCs w:val="21"/>
        </w:rPr>
        <w:t>1.7</w:t>
      </w:r>
      <w:r>
        <w:rPr>
          <w:rFonts w:hint="eastAsia" w:ascii="宋体" w:hAnsi="宋体" w:eastAsia="宋体" w:cs="宋体"/>
          <w:color w:val="auto"/>
          <w:sz w:val="21"/>
          <w:szCs w:val="21"/>
        </w:rPr>
        <w:t>联络</w:t>
      </w:r>
      <w:bookmarkEnd w:id="5"/>
    </w:p>
    <w:p>
      <w:pPr>
        <w:pStyle w:val="60"/>
        <w:shd w:val="clear" w:color="auto" w:fill="auto"/>
        <w:spacing w:before="0" w:after="0" w:line="480" w:lineRule="exact"/>
        <w:ind w:firstLine="520"/>
        <w:jc w:val="left"/>
        <w:rPr>
          <w:rFonts w:ascii="宋体" w:hAnsi="宋体" w:eastAsia="宋体" w:cs="Times New Roman"/>
          <w:color w:val="auto"/>
          <w:sz w:val="21"/>
          <w:szCs w:val="21"/>
        </w:rPr>
      </w:pPr>
      <w:r>
        <w:rPr>
          <w:rFonts w:ascii="宋体" w:hAnsi="宋体" w:eastAsia="宋体" w:cs="宋体"/>
          <w:color w:val="auto"/>
          <w:sz w:val="21"/>
          <w:szCs w:val="21"/>
        </w:rPr>
        <w:t>1.7.1</w:t>
      </w:r>
      <w:r>
        <w:rPr>
          <w:rFonts w:hint="eastAsia" w:ascii="宋体" w:hAnsi="宋体" w:eastAsia="宋体" w:cs="宋体"/>
          <w:color w:val="auto"/>
          <w:sz w:val="21"/>
          <w:szCs w:val="21"/>
        </w:rPr>
        <w:t>与合同有关的通知、批准、证明、证书、指示、要求、请求、同意、意见、确定和决定等，均应采用书面形式。</w:t>
      </w:r>
    </w:p>
    <w:p>
      <w:pPr>
        <w:pStyle w:val="60"/>
        <w:shd w:val="clear" w:color="auto" w:fill="auto"/>
        <w:spacing w:before="0" w:after="0" w:line="480"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1.7.2</w:t>
      </w:r>
      <w:r>
        <w:rPr>
          <w:rFonts w:hint="eastAsia" w:ascii="宋体" w:hAnsi="宋体" w:eastAsia="宋体" w:cs="宋体"/>
          <w:color w:val="auto"/>
          <w:sz w:val="21"/>
          <w:szCs w:val="21"/>
        </w:rPr>
        <w:t>上述通知、批准、证明、证书、指示、要求、请求、同意、意见、确定和决定等来往函件，均应在合同约定的期限内送达指定的地点和指定的接收人，并办理签收手续。</w:t>
      </w:r>
    </w:p>
    <w:p>
      <w:pPr>
        <w:pStyle w:val="64"/>
        <w:keepNext/>
        <w:keepLines/>
        <w:shd w:val="clear" w:color="auto" w:fill="auto"/>
        <w:spacing w:line="480" w:lineRule="exact"/>
        <w:ind w:firstLine="520"/>
        <w:rPr>
          <w:rFonts w:ascii="宋体" w:hAnsi="宋体" w:eastAsia="宋体" w:cs="Times New Roman"/>
          <w:color w:val="auto"/>
          <w:sz w:val="21"/>
          <w:szCs w:val="21"/>
        </w:rPr>
      </w:pPr>
      <w:bookmarkStart w:id="6" w:name="bookmark100"/>
      <w:r>
        <w:rPr>
          <w:rFonts w:ascii="宋体" w:hAnsi="宋体" w:eastAsia="宋体" w:cs="宋体"/>
          <w:color w:val="auto"/>
          <w:sz w:val="21"/>
          <w:szCs w:val="21"/>
        </w:rPr>
        <w:t>1.8</w:t>
      </w:r>
      <w:r>
        <w:rPr>
          <w:rFonts w:hint="eastAsia" w:ascii="宋体" w:hAnsi="宋体" w:eastAsia="宋体" w:cs="宋体"/>
          <w:color w:val="auto"/>
          <w:sz w:val="21"/>
          <w:szCs w:val="21"/>
        </w:rPr>
        <w:t>转让</w:t>
      </w:r>
      <w:bookmarkEnd w:id="6"/>
    </w:p>
    <w:p>
      <w:pPr>
        <w:pStyle w:val="60"/>
        <w:shd w:val="clear" w:color="auto" w:fill="auto"/>
        <w:spacing w:before="0" w:after="0" w:line="480" w:lineRule="exact"/>
        <w:ind w:firstLine="520"/>
        <w:jc w:val="both"/>
        <w:rPr>
          <w:rFonts w:ascii="宋体" w:hAnsi="宋体" w:eastAsia="宋体" w:cs="Times New Roman"/>
          <w:color w:val="auto"/>
          <w:sz w:val="21"/>
          <w:szCs w:val="21"/>
        </w:rPr>
      </w:pPr>
      <w:r>
        <w:rPr>
          <w:rFonts w:hint="eastAsia" w:ascii="宋体" w:hAnsi="宋体" w:eastAsia="宋体" w:cs="宋体"/>
          <w:color w:val="auto"/>
          <w:sz w:val="21"/>
          <w:szCs w:val="21"/>
        </w:rPr>
        <w:t>除专用合同条款另有约定外，未经对方当事人同意，一方当事人不得将合同权利全部或部分转让给第三人，也不得全部或部分转移合同义务。</w:t>
      </w:r>
    </w:p>
    <w:p>
      <w:pPr>
        <w:pStyle w:val="64"/>
        <w:keepNext/>
        <w:keepLines/>
        <w:shd w:val="clear" w:color="auto" w:fill="auto"/>
        <w:spacing w:line="480" w:lineRule="exact"/>
        <w:ind w:firstLine="520"/>
        <w:rPr>
          <w:rFonts w:ascii="宋体" w:hAnsi="宋体" w:eastAsia="宋体" w:cs="Times New Roman"/>
          <w:color w:val="auto"/>
          <w:sz w:val="21"/>
          <w:szCs w:val="21"/>
        </w:rPr>
      </w:pPr>
      <w:bookmarkStart w:id="7" w:name="bookmark101"/>
      <w:r>
        <w:rPr>
          <w:rFonts w:ascii="宋体" w:hAnsi="宋体" w:eastAsia="宋体" w:cs="宋体"/>
          <w:color w:val="auto"/>
          <w:sz w:val="21"/>
          <w:szCs w:val="21"/>
        </w:rPr>
        <w:t>1.9</w:t>
      </w:r>
      <w:r>
        <w:rPr>
          <w:rFonts w:hint="eastAsia" w:ascii="宋体" w:hAnsi="宋体" w:eastAsia="宋体" w:cs="宋体"/>
          <w:color w:val="auto"/>
          <w:sz w:val="21"/>
          <w:szCs w:val="21"/>
        </w:rPr>
        <w:t>严禁贿赂</w:t>
      </w:r>
      <w:bookmarkEnd w:id="7"/>
    </w:p>
    <w:p>
      <w:pPr>
        <w:pStyle w:val="60"/>
        <w:shd w:val="clear" w:color="auto" w:fill="auto"/>
        <w:spacing w:before="0" w:after="0" w:line="480" w:lineRule="exact"/>
        <w:ind w:firstLine="520"/>
        <w:jc w:val="both"/>
        <w:rPr>
          <w:rFonts w:ascii="宋体" w:hAnsi="宋体" w:eastAsia="宋体" w:cs="Times New Roman"/>
          <w:color w:val="auto"/>
          <w:sz w:val="21"/>
          <w:szCs w:val="21"/>
        </w:rPr>
      </w:pPr>
      <w:r>
        <w:rPr>
          <w:rFonts w:hint="eastAsia" w:ascii="宋体" w:hAnsi="宋体" w:eastAsia="宋体" w:cs="宋体"/>
          <w:color w:val="auto"/>
          <w:sz w:val="21"/>
          <w:szCs w:val="21"/>
        </w:rPr>
        <w:t>合同双方当事人不得以贿赂或变相贿赂的方式，谋取不当利益或损害对方权益。因贿赂造成对方当事人损失的，行为人应赔偿损失，并承担相应的法律责任。</w:t>
      </w:r>
    </w:p>
    <w:p>
      <w:pPr>
        <w:pStyle w:val="64"/>
        <w:keepNext/>
        <w:keepLines/>
        <w:shd w:val="clear" w:color="auto" w:fill="auto"/>
        <w:spacing w:line="480" w:lineRule="exact"/>
        <w:ind w:firstLine="520"/>
        <w:rPr>
          <w:rFonts w:ascii="宋体" w:hAnsi="宋体" w:eastAsia="宋体" w:cs="Times New Roman"/>
          <w:color w:val="auto"/>
          <w:sz w:val="21"/>
          <w:szCs w:val="21"/>
        </w:rPr>
      </w:pPr>
      <w:bookmarkStart w:id="8" w:name="bookmark102"/>
      <w:r>
        <w:rPr>
          <w:rFonts w:ascii="宋体" w:hAnsi="宋体" w:eastAsia="宋体" w:cs="宋体"/>
          <w:color w:val="auto"/>
          <w:sz w:val="21"/>
          <w:szCs w:val="21"/>
        </w:rPr>
        <w:t>1.10</w:t>
      </w:r>
      <w:r>
        <w:rPr>
          <w:rFonts w:hint="eastAsia" w:ascii="宋体" w:hAnsi="宋体" w:eastAsia="宋体" w:cs="宋体"/>
          <w:color w:val="auto"/>
          <w:sz w:val="21"/>
          <w:szCs w:val="21"/>
        </w:rPr>
        <w:t>知识产权</w:t>
      </w:r>
      <w:bookmarkEnd w:id="8"/>
    </w:p>
    <w:p>
      <w:pPr>
        <w:pStyle w:val="60"/>
        <w:shd w:val="clear" w:color="auto" w:fill="auto"/>
        <w:spacing w:before="0" w:after="0" w:line="480"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1.10.1</w:t>
      </w:r>
      <w:r>
        <w:rPr>
          <w:rFonts w:hint="eastAsia" w:ascii="宋体" w:hAnsi="宋体" w:eastAsia="宋体" w:cs="宋体"/>
          <w:color w:val="auto"/>
          <w:sz w:val="21"/>
          <w:szCs w:val="21"/>
        </w:rPr>
        <w:t>除专用合同条款另有约定外，勘察人因受发包人委托进行的本项目勘察及专题研究而产生的成果均为双方所共同享有，其中任何一方向第三方转让时须经另一方同意，但若发包人因推进本项目的需要向第三者透露研究成果，则无须经过勘察人的同意。</w:t>
      </w:r>
    </w:p>
    <w:p>
      <w:pPr>
        <w:pStyle w:val="60"/>
        <w:shd w:val="clear" w:color="auto" w:fill="auto"/>
        <w:spacing w:before="0" w:after="0" w:line="480"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1.10.2</w:t>
      </w:r>
      <w:r>
        <w:rPr>
          <w:rFonts w:hint="eastAsia" w:ascii="宋体" w:hAnsi="宋体" w:eastAsia="宋体" w:cs="宋体"/>
          <w:color w:val="auto"/>
          <w:sz w:val="21"/>
          <w:szCs w:val="21"/>
        </w:rPr>
        <w:t>勘察人在从事勘察活动时，不得侵犯他人的知识产权。因侵犯专利权或其他知识产权所引起的责任，由勘察人自行承担。因发包人提供的勘察资料导致侵权的，由发包人承担责任。</w:t>
      </w:r>
    </w:p>
    <w:p>
      <w:pPr>
        <w:pStyle w:val="60"/>
        <w:shd w:val="clear" w:color="auto" w:fill="auto"/>
        <w:spacing w:before="0" w:after="0" w:line="480"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1.10.3</w:t>
      </w:r>
      <w:r>
        <w:rPr>
          <w:rFonts w:hint="eastAsia" w:ascii="宋体" w:hAnsi="宋体" w:eastAsia="宋体" w:cs="宋体"/>
          <w:color w:val="auto"/>
          <w:sz w:val="21"/>
          <w:szCs w:val="21"/>
        </w:rPr>
        <w:t>勘察人在投标文件中采用专利技术、专有技术的，相应的使用费视为己包含在投标报价之中。</w:t>
      </w:r>
    </w:p>
    <w:p>
      <w:pPr>
        <w:pStyle w:val="64"/>
        <w:keepNext/>
        <w:keepLines/>
        <w:shd w:val="clear" w:color="auto" w:fill="auto"/>
        <w:spacing w:line="480" w:lineRule="exact"/>
        <w:ind w:firstLine="520"/>
        <w:rPr>
          <w:rFonts w:ascii="宋体" w:hAnsi="宋体" w:eastAsia="宋体" w:cs="Times New Roman"/>
          <w:color w:val="auto"/>
          <w:sz w:val="21"/>
          <w:szCs w:val="21"/>
        </w:rPr>
      </w:pPr>
      <w:bookmarkStart w:id="9" w:name="bookmark103"/>
      <w:r>
        <w:rPr>
          <w:rFonts w:ascii="宋体" w:hAnsi="宋体" w:eastAsia="宋体" w:cs="宋体"/>
          <w:color w:val="auto"/>
          <w:sz w:val="21"/>
          <w:szCs w:val="21"/>
        </w:rPr>
        <w:t>1.11</w:t>
      </w:r>
      <w:r>
        <w:rPr>
          <w:rFonts w:hint="eastAsia" w:ascii="宋体" w:hAnsi="宋体" w:eastAsia="宋体" w:cs="宋体"/>
          <w:color w:val="auto"/>
          <w:sz w:val="21"/>
          <w:szCs w:val="21"/>
        </w:rPr>
        <w:t>文件及信息的保密</w:t>
      </w:r>
      <w:bookmarkEnd w:id="9"/>
    </w:p>
    <w:p>
      <w:pPr>
        <w:pStyle w:val="60"/>
        <w:shd w:val="clear" w:color="auto" w:fill="auto"/>
        <w:spacing w:before="0" w:after="0" w:line="480" w:lineRule="exact"/>
        <w:ind w:firstLine="520"/>
        <w:jc w:val="both"/>
        <w:rPr>
          <w:rFonts w:ascii="宋体" w:hAnsi="宋体" w:eastAsia="宋体" w:cs="Times New Roman"/>
          <w:color w:val="auto"/>
          <w:sz w:val="21"/>
          <w:szCs w:val="21"/>
        </w:rPr>
      </w:pPr>
      <w:r>
        <w:rPr>
          <w:rFonts w:hint="eastAsia" w:ascii="宋体" w:hAnsi="宋体" w:eastAsia="宋体" w:cs="宋体"/>
          <w:color w:val="auto"/>
          <w:sz w:val="21"/>
          <w:szCs w:val="21"/>
        </w:rPr>
        <w:t>未经对方同意，任何一方当事人不得将有关文件、技术秘密、需要保密的资料和信息泄露给他人或公开发表与引用。</w:t>
      </w:r>
    </w:p>
    <w:p>
      <w:pPr>
        <w:pStyle w:val="64"/>
        <w:keepNext/>
        <w:keepLines/>
        <w:shd w:val="clear" w:color="auto" w:fill="auto"/>
        <w:spacing w:line="480" w:lineRule="exact"/>
        <w:ind w:firstLine="520"/>
        <w:rPr>
          <w:rFonts w:ascii="宋体" w:hAnsi="宋体" w:eastAsia="宋体" w:cs="Times New Roman"/>
          <w:color w:val="auto"/>
          <w:sz w:val="21"/>
          <w:szCs w:val="21"/>
        </w:rPr>
      </w:pPr>
      <w:bookmarkStart w:id="10" w:name="bookmark104"/>
      <w:r>
        <w:rPr>
          <w:rFonts w:ascii="宋体" w:hAnsi="宋体" w:eastAsia="宋体" w:cs="宋体"/>
          <w:color w:val="auto"/>
          <w:sz w:val="21"/>
          <w:szCs w:val="21"/>
        </w:rPr>
        <w:t>1.12</w:t>
      </w:r>
      <w:r>
        <w:rPr>
          <w:rFonts w:hint="eastAsia" w:ascii="宋体" w:hAnsi="宋体" w:eastAsia="宋体" w:cs="宋体"/>
          <w:color w:val="auto"/>
          <w:sz w:val="21"/>
          <w:szCs w:val="21"/>
        </w:rPr>
        <w:t>发包人要求</w:t>
      </w:r>
      <w:bookmarkEnd w:id="10"/>
    </w:p>
    <w:p>
      <w:pPr>
        <w:pStyle w:val="60"/>
        <w:shd w:val="clear" w:color="auto" w:fill="auto"/>
        <w:spacing w:before="0" w:after="0" w:line="480"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1.12.1</w:t>
      </w:r>
      <w:r>
        <w:rPr>
          <w:rFonts w:hint="eastAsia" w:ascii="宋体" w:hAnsi="宋体" w:eastAsia="宋体" w:cs="宋体"/>
          <w:color w:val="auto"/>
          <w:sz w:val="21"/>
          <w:szCs w:val="21"/>
        </w:rPr>
        <w:t>勘察人应认真阅读、复核发包人要求，发现错误的，应及时书面通知发包人。无论是否存在错误，发包人均有权修改发包人要求，并在修改后</w:t>
      </w:r>
      <w:r>
        <w:rPr>
          <w:rFonts w:ascii="宋体" w:hAnsi="宋体" w:eastAsia="宋体" w:cs="宋体"/>
          <w:color w:val="auto"/>
          <w:sz w:val="21"/>
          <w:szCs w:val="21"/>
        </w:rPr>
        <w:t>3</w:t>
      </w:r>
      <w:r>
        <w:rPr>
          <w:rFonts w:hint="eastAsia" w:ascii="宋体" w:hAnsi="宋体" w:eastAsia="宋体" w:cs="宋体"/>
          <w:color w:val="auto"/>
          <w:sz w:val="21"/>
          <w:szCs w:val="21"/>
        </w:rPr>
        <w:t>天内通知勘察人。除专用合同条款另有约定外，由此导致勘察人费用增加和（或）周期延误的，发包人应当相应地增加费用和（或）延长周期。</w:t>
      </w:r>
    </w:p>
    <w:p>
      <w:pPr>
        <w:pStyle w:val="60"/>
        <w:shd w:val="clear" w:color="auto" w:fill="auto"/>
        <w:spacing w:before="0" w:after="0" w:line="480"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1.12.2</w:t>
      </w:r>
      <w:r>
        <w:rPr>
          <w:rFonts w:hint="eastAsia" w:ascii="宋体" w:hAnsi="宋体" w:eastAsia="宋体" w:cs="宋体"/>
          <w:color w:val="auto"/>
          <w:sz w:val="21"/>
          <w:szCs w:val="21"/>
        </w:rPr>
        <w:t>如果发包人要求违反法律规定，勘察人应在发现后及时书面通知发包人，要求其改正。发包人收到通知书后不予改正或不予答复的，勘察人有权拒绝履行合同义务，直至解除合同；由此引起的勘察人的全部损失由发包人承担。</w:t>
      </w:r>
    </w:p>
    <w:p>
      <w:pPr>
        <w:pStyle w:val="60"/>
        <w:shd w:val="clear" w:color="auto" w:fill="auto"/>
        <w:spacing w:before="0" w:after="0" w:line="480"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1.12.3</w:t>
      </w:r>
      <w:r>
        <w:rPr>
          <w:rFonts w:hint="eastAsia" w:ascii="宋体" w:hAnsi="宋体" w:eastAsia="宋体" w:cs="宋体"/>
          <w:color w:val="auto"/>
          <w:sz w:val="21"/>
          <w:szCs w:val="21"/>
        </w:rPr>
        <w:t>发包人要求采用国外规范和标准进行勘察时，应由发包人负责提供该规范和标准的外国文本和中文译本，提供的时间、份数和其他要求在专用合同条款中约定。</w:t>
      </w:r>
    </w:p>
    <w:p>
      <w:pPr>
        <w:pStyle w:val="64"/>
        <w:keepNext/>
        <w:keepLines/>
        <w:shd w:val="clear" w:color="auto" w:fill="auto"/>
        <w:spacing w:line="480" w:lineRule="exact"/>
        <w:ind w:firstLine="520"/>
        <w:rPr>
          <w:rFonts w:ascii="宋体" w:hAnsi="宋体" w:eastAsia="宋体" w:cs="Times New Roman"/>
          <w:color w:val="auto"/>
          <w:sz w:val="21"/>
          <w:szCs w:val="21"/>
        </w:rPr>
      </w:pPr>
      <w:bookmarkStart w:id="11" w:name="bookmark105"/>
      <w:r>
        <w:rPr>
          <w:rFonts w:ascii="宋体" w:hAnsi="宋体" w:eastAsia="宋体" w:cs="宋体"/>
          <w:color w:val="auto"/>
          <w:sz w:val="21"/>
          <w:szCs w:val="21"/>
        </w:rPr>
        <w:t>1.13</w:t>
      </w:r>
      <w:r>
        <w:rPr>
          <w:rFonts w:hint="eastAsia" w:ascii="宋体" w:hAnsi="宋体" w:eastAsia="宋体" w:cs="宋体"/>
          <w:color w:val="auto"/>
          <w:sz w:val="21"/>
          <w:szCs w:val="21"/>
        </w:rPr>
        <w:t>避免利益冲突</w:t>
      </w:r>
      <w:bookmarkEnd w:id="11"/>
    </w:p>
    <w:p>
      <w:pPr>
        <w:pStyle w:val="60"/>
        <w:shd w:val="clear" w:color="auto" w:fill="auto"/>
        <w:spacing w:before="0" w:after="296" w:line="480" w:lineRule="exact"/>
        <w:ind w:firstLine="520"/>
        <w:jc w:val="both"/>
        <w:rPr>
          <w:rFonts w:ascii="宋体" w:hAnsi="宋体" w:eastAsia="宋体" w:cs="Times New Roman"/>
          <w:color w:val="auto"/>
          <w:sz w:val="21"/>
          <w:szCs w:val="21"/>
        </w:rPr>
      </w:pPr>
      <w:r>
        <w:rPr>
          <w:rFonts w:hint="eastAsia" w:ascii="宋体" w:hAnsi="宋体" w:eastAsia="宋体" w:cs="宋体"/>
          <w:color w:val="auto"/>
          <w:sz w:val="21"/>
          <w:szCs w:val="21"/>
        </w:rPr>
        <w:t>除专用合同条款另有约定外，勘察人及其雇员不应接受本合同规定以外的与本工程有关的利益和报酬；勘察人不得参与与发包人的利益相冲突的任何活动。</w:t>
      </w:r>
    </w:p>
    <w:p>
      <w:pPr>
        <w:pStyle w:val="70"/>
        <w:keepNext/>
        <w:keepLines/>
        <w:numPr>
          <w:ilvl w:val="0"/>
          <w:numId w:val="2"/>
        </w:numPr>
        <w:shd w:val="clear" w:color="auto" w:fill="auto"/>
        <w:spacing w:before="0" w:after="144"/>
        <w:jc w:val="both"/>
        <w:rPr>
          <w:rFonts w:ascii="宋体" w:hAnsi="宋体" w:eastAsia="宋体" w:cs="Times New Roman"/>
          <w:color w:val="auto"/>
          <w:sz w:val="21"/>
          <w:szCs w:val="21"/>
        </w:rPr>
      </w:pPr>
      <w:bookmarkStart w:id="12" w:name="bookmark106"/>
      <w:r>
        <w:rPr>
          <w:rStyle w:val="71"/>
          <w:rFonts w:hint="eastAsia" w:ascii="宋体" w:hAnsi="宋体" w:eastAsia="宋体" w:cs="宋体"/>
          <w:b/>
          <w:bCs/>
          <w:color w:val="auto"/>
          <w:sz w:val="21"/>
          <w:szCs w:val="21"/>
        </w:rPr>
        <w:t>发包人义务</w:t>
      </w:r>
      <w:bookmarkEnd w:id="12"/>
    </w:p>
    <w:p>
      <w:pPr>
        <w:pStyle w:val="64"/>
        <w:keepNext/>
        <w:keepLines/>
        <w:shd w:val="clear" w:color="auto" w:fill="auto"/>
        <w:spacing w:line="480" w:lineRule="exact"/>
        <w:ind w:firstLine="520"/>
        <w:rPr>
          <w:rFonts w:ascii="宋体" w:hAnsi="宋体" w:eastAsia="宋体" w:cs="Times New Roman"/>
          <w:color w:val="auto"/>
          <w:sz w:val="21"/>
          <w:szCs w:val="21"/>
        </w:rPr>
      </w:pPr>
      <w:bookmarkStart w:id="13" w:name="bookmark107"/>
      <w:r>
        <w:rPr>
          <w:rFonts w:ascii="宋体" w:hAnsi="宋体" w:eastAsia="宋体" w:cs="宋体"/>
          <w:color w:val="auto"/>
          <w:sz w:val="21"/>
          <w:szCs w:val="21"/>
          <w:lang w:eastAsia="en-US"/>
        </w:rPr>
        <w:t>2.1</w:t>
      </w:r>
      <w:r>
        <w:rPr>
          <w:rFonts w:hint="eastAsia" w:ascii="宋体" w:hAnsi="宋体" w:eastAsia="宋体" w:cs="宋体"/>
          <w:color w:val="auto"/>
          <w:sz w:val="21"/>
          <w:szCs w:val="21"/>
        </w:rPr>
        <w:t>遵守法律</w:t>
      </w:r>
      <w:bookmarkEnd w:id="13"/>
    </w:p>
    <w:p>
      <w:pPr>
        <w:pStyle w:val="60"/>
        <w:shd w:val="clear" w:color="auto" w:fill="auto"/>
        <w:spacing w:before="0" w:after="0" w:line="480" w:lineRule="exact"/>
        <w:ind w:firstLine="520"/>
        <w:jc w:val="both"/>
        <w:rPr>
          <w:rFonts w:ascii="宋体" w:hAnsi="宋体" w:eastAsia="宋体" w:cs="Times New Roman"/>
          <w:color w:val="auto"/>
          <w:sz w:val="21"/>
          <w:szCs w:val="21"/>
        </w:rPr>
      </w:pPr>
      <w:r>
        <w:rPr>
          <w:rFonts w:hint="eastAsia" w:ascii="宋体" w:hAnsi="宋体" w:eastAsia="宋体" w:cs="宋体"/>
          <w:color w:val="auto"/>
          <w:sz w:val="21"/>
          <w:szCs w:val="21"/>
        </w:rPr>
        <w:t>发包人在履行合同过程中应遵守法律，并保证勘察人免于承担因发包人违反法律而引起的任何责任。</w:t>
      </w:r>
    </w:p>
    <w:p>
      <w:pPr>
        <w:pStyle w:val="64"/>
        <w:keepNext/>
        <w:keepLines/>
        <w:shd w:val="clear" w:color="auto" w:fill="auto"/>
        <w:spacing w:line="480" w:lineRule="exact"/>
        <w:ind w:firstLine="520"/>
        <w:rPr>
          <w:rFonts w:ascii="宋体" w:hAnsi="宋体" w:eastAsia="宋体" w:cs="Times New Roman"/>
          <w:color w:val="auto"/>
          <w:sz w:val="21"/>
          <w:szCs w:val="21"/>
        </w:rPr>
      </w:pPr>
      <w:bookmarkStart w:id="14" w:name="bookmark108"/>
      <w:r>
        <w:rPr>
          <w:rFonts w:ascii="宋体" w:hAnsi="宋体" w:eastAsia="宋体" w:cs="宋体"/>
          <w:color w:val="auto"/>
          <w:sz w:val="21"/>
          <w:szCs w:val="21"/>
        </w:rPr>
        <w:t>2.2</w:t>
      </w:r>
      <w:r>
        <w:rPr>
          <w:rFonts w:hint="eastAsia" w:ascii="宋体" w:hAnsi="宋体" w:eastAsia="宋体" w:cs="宋体"/>
          <w:color w:val="auto"/>
          <w:sz w:val="21"/>
          <w:szCs w:val="21"/>
        </w:rPr>
        <w:t>发出幵始勘察通知</w:t>
      </w:r>
      <w:bookmarkEnd w:id="14"/>
    </w:p>
    <w:p>
      <w:pPr>
        <w:pStyle w:val="60"/>
        <w:shd w:val="clear" w:color="auto" w:fill="auto"/>
        <w:spacing w:before="0" w:after="0" w:line="480" w:lineRule="exact"/>
        <w:ind w:firstLine="520"/>
        <w:jc w:val="both"/>
        <w:rPr>
          <w:rFonts w:ascii="宋体" w:hAnsi="宋体" w:eastAsia="宋体" w:cs="Times New Roman"/>
          <w:color w:val="auto"/>
          <w:sz w:val="21"/>
          <w:szCs w:val="21"/>
        </w:rPr>
      </w:pPr>
      <w:r>
        <w:rPr>
          <w:rFonts w:hint="eastAsia" w:ascii="宋体" w:hAnsi="宋体" w:eastAsia="宋体" w:cs="宋体"/>
          <w:color w:val="auto"/>
          <w:sz w:val="21"/>
          <w:szCs w:val="21"/>
        </w:rPr>
        <w:t>发包人应按第</w:t>
      </w:r>
      <w:r>
        <w:rPr>
          <w:rFonts w:ascii="宋体" w:hAnsi="宋体" w:eastAsia="宋体" w:cs="宋体"/>
          <w:color w:val="auto"/>
          <w:sz w:val="21"/>
          <w:szCs w:val="21"/>
        </w:rPr>
        <w:t>6.1</w:t>
      </w:r>
      <w:r>
        <w:rPr>
          <w:rFonts w:hint="eastAsia" w:ascii="宋体" w:hAnsi="宋体" w:eastAsia="宋体" w:cs="宋体"/>
          <w:color w:val="auto"/>
          <w:sz w:val="21"/>
          <w:szCs w:val="21"/>
        </w:rPr>
        <w:t>款的约定向勘察人发出开始勘察通知。</w:t>
      </w:r>
    </w:p>
    <w:p>
      <w:pPr>
        <w:pStyle w:val="64"/>
        <w:keepNext/>
        <w:keepLines/>
        <w:shd w:val="clear" w:color="auto" w:fill="auto"/>
        <w:spacing w:line="480" w:lineRule="exact"/>
        <w:ind w:firstLine="520"/>
        <w:rPr>
          <w:rFonts w:ascii="宋体" w:hAnsi="宋体" w:eastAsia="宋体" w:cs="Times New Roman"/>
          <w:color w:val="auto"/>
          <w:sz w:val="21"/>
          <w:szCs w:val="21"/>
        </w:rPr>
      </w:pPr>
      <w:bookmarkStart w:id="15" w:name="bookmark109"/>
      <w:r>
        <w:rPr>
          <w:rFonts w:ascii="宋体" w:hAnsi="宋体" w:eastAsia="宋体" w:cs="宋体"/>
          <w:color w:val="auto"/>
          <w:sz w:val="21"/>
          <w:szCs w:val="21"/>
        </w:rPr>
        <w:t>2.3</w:t>
      </w:r>
      <w:r>
        <w:rPr>
          <w:rFonts w:hint="eastAsia" w:ascii="宋体" w:hAnsi="宋体" w:eastAsia="宋体" w:cs="宋体"/>
          <w:color w:val="auto"/>
          <w:sz w:val="21"/>
          <w:szCs w:val="21"/>
        </w:rPr>
        <w:t>办理证件和批件</w:t>
      </w:r>
      <w:bookmarkEnd w:id="15"/>
    </w:p>
    <w:p>
      <w:pPr>
        <w:pStyle w:val="60"/>
        <w:shd w:val="clear" w:color="auto" w:fill="auto"/>
        <w:spacing w:before="0" w:after="0" w:line="480" w:lineRule="exact"/>
        <w:ind w:firstLine="520"/>
        <w:jc w:val="both"/>
        <w:rPr>
          <w:rFonts w:ascii="宋体" w:hAnsi="宋体" w:eastAsia="宋体" w:cs="Times New Roman"/>
          <w:color w:val="auto"/>
          <w:sz w:val="21"/>
          <w:szCs w:val="21"/>
        </w:rPr>
      </w:pPr>
      <w:r>
        <w:rPr>
          <w:rFonts w:hint="eastAsia" w:ascii="宋体" w:hAnsi="宋体" w:eastAsia="宋体" w:cs="宋体"/>
          <w:color w:val="auto"/>
          <w:sz w:val="21"/>
          <w:szCs w:val="21"/>
        </w:rPr>
        <w:t>法律规定和（或）合同约定由发包人负责办理的工程建设项目必须履行的各类审批、核准或备案手续，发包人应按时办理，勘察人应给予必要的协助。</w:t>
      </w:r>
    </w:p>
    <w:p>
      <w:pPr>
        <w:pStyle w:val="60"/>
        <w:shd w:val="clear" w:color="auto" w:fill="auto"/>
        <w:spacing w:before="0" w:after="0" w:line="480" w:lineRule="exact"/>
        <w:ind w:firstLine="520"/>
        <w:jc w:val="left"/>
        <w:rPr>
          <w:rFonts w:ascii="宋体" w:hAnsi="宋体" w:eastAsia="宋体" w:cs="Times New Roman"/>
          <w:color w:val="auto"/>
          <w:sz w:val="21"/>
          <w:szCs w:val="21"/>
        </w:rPr>
      </w:pPr>
      <w:r>
        <w:rPr>
          <w:rFonts w:hint="eastAsia" w:ascii="宋体" w:hAnsi="宋体" w:eastAsia="宋体" w:cs="宋体"/>
          <w:color w:val="auto"/>
          <w:sz w:val="21"/>
          <w:szCs w:val="21"/>
        </w:rPr>
        <w:t>法律规定和（或）合同约定由勘察人负责办理的勘察所需的证件和批件，发包人应给予必要的协助。</w:t>
      </w:r>
    </w:p>
    <w:p>
      <w:pPr>
        <w:pStyle w:val="64"/>
        <w:keepNext/>
        <w:keepLines/>
        <w:shd w:val="clear" w:color="auto" w:fill="auto"/>
        <w:spacing w:line="480" w:lineRule="exact"/>
        <w:ind w:firstLine="520"/>
        <w:rPr>
          <w:rFonts w:ascii="宋体" w:hAnsi="宋体" w:eastAsia="宋体" w:cs="Times New Roman"/>
          <w:color w:val="auto"/>
          <w:sz w:val="21"/>
          <w:szCs w:val="21"/>
        </w:rPr>
      </w:pPr>
      <w:bookmarkStart w:id="16" w:name="bookmark110"/>
      <w:r>
        <w:rPr>
          <w:rFonts w:ascii="宋体" w:hAnsi="宋体" w:eastAsia="宋体" w:cs="宋体"/>
          <w:color w:val="auto"/>
          <w:sz w:val="21"/>
          <w:szCs w:val="21"/>
        </w:rPr>
        <w:t>2.4</w:t>
      </w:r>
      <w:r>
        <w:rPr>
          <w:rFonts w:hint="eastAsia" w:ascii="宋体" w:hAnsi="宋体" w:eastAsia="宋体" w:cs="宋体"/>
          <w:color w:val="auto"/>
          <w:sz w:val="21"/>
          <w:szCs w:val="21"/>
        </w:rPr>
        <w:t>支付合同价款</w:t>
      </w:r>
      <w:bookmarkEnd w:id="16"/>
    </w:p>
    <w:p>
      <w:pPr>
        <w:pStyle w:val="60"/>
        <w:shd w:val="clear" w:color="auto" w:fill="auto"/>
        <w:spacing w:before="0" w:after="0" w:line="480" w:lineRule="exact"/>
        <w:ind w:firstLine="520"/>
        <w:jc w:val="both"/>
        <w:rPr>
          <w:rFonts w:ascii="宋体" w:hAnsi="宋体" w:eastAsia="宋体" w:cs="Times New Roman"/>
          <w:color w:val="auto"/>
          <w:sz w:val="21"/>
          <w:szCs w:val="21"/>
        </w:rPr>
      </w:pPr>
      <w:r>
        <w:rPr>
          <w:rFonts w:hint="eastAsia" w:ascii="宋体" w:hAnsi="宋体" w:eastAsia="宋体" w:cs="宋体"/>
          <w:color w:val="auto"/>
          <w:sz w:val="21"/>
          <w:szCs w:val="21"/>
        </w:rPr>
        <w:t>发包人应按合同约定向勘察人及时支付合同价款。</w:t>
      </w:r>
    </w:p>
    <w:p>
      <w:pPr>
        <w:pStyle w:val="64"/>
        <w:keepNext/>
        <w:keepLines/>
        <w:shd w:val="clear" w:color="auto" w:fill="auto"/>
        <w:spacing w:line="480" w:lineRule="exact"/>
        <w:ind w:firstLine="520"/>
        <w:rPr>
          <w:rFonts w:ascii="宋体" w:hAnsi="宋体" w:eastAsia="宋体" w:cs="Times New Roman"/>
          <w:color w:val="auto"/>
          <w:sz w:val="21"/>
          <w:szCs w:val="21"/>
        </w:rPr>
      </w:pPr>
      <w:bookmarkStart w:id="17" w:name="bookmark111"/>
      <w:r>
        <w:rPr>
          <w:rFonts w:ascii="宋体" w:hAnsi="宋体" w:eastAsia="宋体" w:cs="宋体"/>
          <w:color w:val="auto"/>
          <w:sz w:val="21"/>
          <w:szCs w:val="21"/>
        </w:rPr>
        <w:t>2.5</w:t>
      </w:r>
      <w:r>
        <w:rPr>
          <w:rFonts w:hint="eastAsia" w:ascii="宋体" w:hAnsi="宋体" w:eastAsia="宋体" w:cs="宋体"/>
          <w:color w:val="auto"/>
          <w:sz w:val="21"/>
          <w:szCs w:val="21"/>
        </w:rPr>
        <w:t>提供勘察资料</w:t>
      </w:r>
      <w:bookmarkEnd w:id="17"/>
    </w:p>
    <w:p>
      <w:pPr>
        <w:pStyle w:val="60"/>
        <w:shd w:val="clear" w:color="auto" w:fill="auto"/>
        <w:spacing w:before="0" w:after="0" w:line="480" w:lineRule="exact"/>
        <w:ind w:firstLine="520"/>
        <w:jc w:val="both"/>
        <w:rPr>
          <w:rFonts w:ascii="宋体" w:hAnsi="宋体" w:eastAsia="宋体" w:cs="Times New Roman"/>
          <w:color w:val="auto"/>
          <w:sz w:val="21"/>
          <w:szCs w:val="21"/>
        </w:rPr>
      </w:pPr>
      <w:r>
        <w:rPr>
          <w:rFonts w:hint="eastAsia" w:ascii="宋体" w:hAnsi="宋体" w:eastAsia="宋体" w:cs="宋体"/>
          <w:color w:val="auto"/>
          <w:sz w:val="21"/>
          <w:szCs w:val="21"/>
        </w:rPr>
        <w:t>发包人应按第</w:t>
      </w:r>
      <w:r>
        <w:rPr>
          <w:rStyle w:val="67"/>
          <w:rFonts w:ascii="宋体" w:hAnsi="宋体" w:eastAsia="宋体" w:cs="宋体"/>
          <w:color w:val="auto"/>
          <w:sz w:val="21"/>
          <w:szCs w:val="21"/>
          <w:lang w:eastAsia="zh-CN"/>
        </w:rPr>
        <w:t>1</w:t>
      </w:r>
      <w:r>
        <w:rPr>
          <w:rStyle w:val="68"/>
          <w:rFonts w:ascii="宋体" w:hAnsi="宋体" w:eastAsia="宋体" w:cs="宋体"/>
          <w:color w:val="auto"/>
          <w:sz w:val="21"/>
          <w:szCs w:val="21"/>
          <w:lang w:eastAsia="zh-CN"/>
        </w:rPr>
        <w:t>.</w:t>
      </w:r>
      <w:r>
        <w:rPr>
          <w:rStyle w:val="67"/>
          <w:rFonts w:ascii="宋体" w:hAnsi="宋体" w:eastAsia="宋体" w:cs="宋体"/>
          <w:color w:val="auto"/>
          <w:sz w:val="21"/>
          <w:szCs w:val="21"/>
          <w:lang w:eastAsia="zh-CN"/>
        </w:rPr>
        <w:t>6.2</w:t>
      </w:r>
      <w:r>
        <w:rPr>
          <w:rFonts w:hint="eastAsia" w:ascii="宋体" w:hAnsi="宋体" w:eastAsia="宋体" w:cs="宋体"/>
          <w:color w:val="auto"/>
          <w:sz w:val="21"/>
          <w:szCs w:val="21"/>
        </w:rPr>
        <w:t>项的约定向勘察人提供勘察资料。</w:t>
      </w:r>
    </w:p>
    <w:p>
      <w:pPr>
        <w:pStyle w:val="64"/>
        <w:keepNext/>
        <w:keepLines/>
        <w:shd w:val="clear" w:color="auto" w:fill="auto"/>
        <w:spacing w:line="480" w:lineRule="exact"/>
        <w:ind w:firstLine="520"/>
        <w:rPr>
          <w:rFonts w:ascii="宋体" w:hAnsi="宋体" w:eastAsia="宋体" w:cs="Times New Roman"/>
          <w:color w:val="auto"/>
          <w:sz w:val="21"/>
          <w:szCs w:val="21"/>
        </w:rPr>
      </w:pPr>
      <w:bookmarkStart w:id="18" w:name="bookmark112"/>
      <w:r>
        <w:rPr>
          <w:rFonts w:ascii="宋体" w:hAnsi="宋体" w:eastAsia="宋体" w:cs="宋体"/>
          <w:color w:val="auto"/>
          <w:sz w:val="21"/>
          <w:szCs w:val="21"/>
        </w:rPr>
        <w:t>2.6</w:t>
      </w:r>
      <w:r>
        <w:rPr>
          <w:rFonts w:hint="eastAsia" w:ascii="宋体" w:hAnsi="宋体" w:eastAsia="宋体" w:cs="宋体"/>
          <w:color w:val="auto"/>
          <w:sz w:val="21"/>
          <w:szCs w:val="21"/>
        </w:rPr>
        <w:t>其他义务</w:t>
      </w:r>
      <w:bookmarkEnd w:id="18"/>
    </w:p>
    <w:p>
      <w:pPr>
        <w:pStyle w:val="60"/>
        <w:shd w:val="clear" w:color="auto" w:fill="auto"/>
        <w:spacing w:before="0" w:after="0" w:line="480" w:lineRule="exact"/>
        <w:ind w:firstLine="500"/>
        <w:jc w:val="both"/>
        <w:rPr>
          <w:rFonts w:ascii="宋体" w:hAnsi="宋体" w:eastAsia="宋体" w:cs="Times New Roman"/>
          <w:color w:val="auto"/>
          <w:sz w:val="21"/>
          <w:szCs w:val="21"/>
        </w:rPr>
      </w:pPr>
      <w:r>
        <w:rPr>
          <w:rFonts w:ascii="宋体" w:hAnsi="宋体" w:eastAsia="宋体" w:cs="宋体"/>
          <w:color w:val="auto"/>
          <w:sz w:val="21"/>
          <w:szCs w:val="21"/>
        </w:rPr>
        <w:t>2.6.1</w:t>
      </w:r>
      <w:r>
        <w:rPr>
          <w:rFonts w:hint="eastAsia" w:ascii="宋体" w:hAnsi="宋体" w:eastAsia="宋体" w:cs="宋体"/>
          <w:color w:val="auto"/>
          <w:sz w:val="21"/>
          <w:szCs w:val="21"/>
        </w:rPr>
        <w:t>发包人应严格履行基本建设程序，根据本工程的具体情况和技术要求，确定合理的勘察工作量及合理的勘察服务期限。</w:t>
      </w:r>
    </w:p>
    <w:p>
      <w:pPr>
        <w:pStyle w:val="60"/>
        <w:shd w:val="clear" w:color="auto" w:fill="auto"/>
        <w:spacing w:before="0" w:after="0" w:line="480" w:lineRule="exact"/>
        <w:ind w:firstLine="500"/>
        <w:jc w:val="both"/>
        <w:rPr>
          <w:rFonts w:ascii="宋体" w:hAnsi="宋体" w:eastAsia="宋体" w:cs="Times New Roman"/>
          <w:color w:val="auto"/>
          <w:sz w:val="21"/>
          <w:szCs w:val="21"/>
        </w:rPr>
      </w:pPr>
      <w:r>
        <w:rPr>
          <w:rStyle w:val="67"/>
          <w:rFonts w:ascii="宋体" w:hAnsi="宋体" w:eastAsia="宋体" w:cs="宋体"/>
          <w:color w:val="auto"/>
          <w:sz w:val="21"/>
          <w:szCs w:val="21"/>
          <w:lang w:eastAsia="zh-CN"/>
        </w:rPr>
        <w:t>2</w:t>
      </w:r>
      <w:r>
        <w:rPr>
          <w:rStyle w:val="68"/>
          <w:rFonts w:ascii="宋体" w:hAnsi="宋体" w:eastAsia="宋体" w:cs="宋体"/>
          <w:color w:val="auto"/>
          <w:sz w:val="21"/>
          <w:szCs w:val="21"/>
          <w:lang w:eastAsia="zh-CN"/>
        </w:rPr>
        <w:t>.</w:t>
      </w:r>
      <w:r>
        <w:rPr>
          <w:rStyle w:val="67"/>
          <w:rFonts w:ascii="宋体" w:hAnsi="宋体" w:eastAsia="宋体" w:cs="宋体"/>
          <w:color w:val="auto"/>
          <w:sz w:val="21"/>
          <w:szCs w:val="21"/>
          <w:lang w:eastAsia="zh-CN"/>
        </w:rPr>
        <w:t>6.2</w:t>
      </w:r>
      <w:r>
        <w:rPr>
          <w:rFonts w:hint="eastAsia" w:ascii="宋体" w:hAnsi="宋体" w:eastAsia="宋体" w:cs="宋体"/>
          <w:color w:val="auto"/>
          <w:sz w:val="21"/>
          <w:szCs w:val="21"/>
        </w:rPr>
        <w:t>发包人应组织专家或委托咨询单位对勘察文件和为了满足勘察需要而进行的各种研究试验成果进行审查，并负责勘察文件的报审工作，向勘察人提供上级主管部门对勘察文件进行审查后的批复意见。对勘察人在贯彻落实审查意见时提出的有关问题应及时认真予以解答，但并不免除勘察人根据本合同规定应负的责任。</w:t>
      </w:r>
    </w:p>
    <w:p>
      <w:pPr>
        <w:pStyle w:val="60"/>
        <w:shd w:val="clear" w:color="auto" w:fill="auto"/>
        <w:spacing w:before="0" w:after="0" w:line="480" w:lineRule="exact"/>
        <w:ind w:firstLine="500"/>
        <w:jc w:val="both"/>
        <w:rPr>
          <w:rFonts w:ascii="宋体" w:hAnsi="宋体" w:eastAsia="宋体" w:cs="Times New Roman"/>
          <w:color w:val="auto"/>
          <w:sz w:val="21"/>
          <w:szCs w:val="21"/>
        </w:rPr>
      </w:pPr>
      <w:r>
        <w:rPr>
          <w:rFonts w:ascii="宋体" w:hAnsi="宋体" w:eastAsia="宋体" w:cs="宋体"/>
          <w:color w:val="auto"/>
          <w:sz w:val="21"/>
          <w:szCs w:val="21"/>
        </w:rPr>
        <w:t>2.6.3</w:t>
      </w:r>
      <w:r>
        <w:rPr>
          <w:rFonts w:hint="eastAsia" w:ascii="宋体" w:hAnsi="宋体" w:eastAsia="宋体" w:cs="宋体"/>
          <w:color w:val="auto"/>
          <w:sz w:val="21"/>
          <w:szCs w:val="21"/>
        </w:rPr>
        <w:t>发包人不应向勘察人提出不符合工程安全生产法律、法规和工程建设强制性标准规定的要求。</w:t>
      </w:r>
    </w:p>
    <w:p>
      <w:pPr>
        <w:pStyle w:val="60"/>
        <w:shd w:val="clear" w:color="auto" w:fill="auto"/>
        <w:spacing w:before="0" w:after="0" w:line="480" w:lineRule="exact"/>
        <w:ind w:firstLine="500"/>
        <w:jc w:val="both"/>
        <w:rPr>
          <w:rFonts w:ascii="宋体" w:hAnsi="宋体" w:eastAsia="宋体" w:cs="Times New Roman"/>
          <w:color w:val="auto"/>
          <w:sz w:val="21"/>
          <w:szCs w:val="21"/>
        </w:rPr>
      </w:pPr>
      <w:r>
        <w:rPr>
          <w:rFonts w:ascii="宋体" w:hAnsi="宋体" w:eastAsia="宋体" w:cs="宋体"/>
          <w:color w:val="auto"/>
          <w:sz w:val="21"/>
          <w:szCs w:val="21"/>
        </w:rPr>
        <w:t>2.6.4</w:t>
      </w:r>
      <w:r>
        <w:rPr>
          <w:rFonts w:hint="eastAsia" w:ascii="宋体" w:hAnsi="宋体" w:eastAsia="宋体" w:cs="宋体"/>
          <w:color w:val="auto"/>
          <w:sz w:val="21"/>
          <w:szCs w:val="21"/>
        </w:rPr>
        <w:t>由于执行发包人的书面指令而造成的勘察质量事故应由发包人承担责任。</w:t>
      </w:r>
    </w:p>
    <w:p>
      <w:pPr>
        <w:pStyle w:val="60"/>
        <w:shd w:val="clear" w:color="auto" w:fill="auto"/>
        <w:spacing w:before="0" w:after="316" w:line="480" w:lineRule="exact"/>
        <w:ind w:firstLine="500"/>
        <w:jc w:val="both"/>
        <w:rPr>
          <w:rFonts w:ascii="宋体" w:hAnsi="宋体" w:eastAsia="宋体" w:cs="Times New Roman"/>
          <w:color w:val="auto"/>
          <w:sz w:val="21"/>
          <w:szCs w:val="21"/>
        </w:rPr>
      </w:pPr>
      <w:r>
        <w:rPr>
          <w:rFonts w:ascii="宋体" w:hAnsi="宋体" w:eastAsia="宋体" w:cs="宋体"/>
          <w:color w:val="auto"/>
          <w:sz w:val="21"/>
          <w:szCs w:val="21"/>
        </w:rPr>
        <w:t>2.6.5</w:t>
      </w:r>
      <w:r>
        <w:rPr>
          <w:rFonts w:hint="eastAsia" w:ascii="宋体" w:hAnsi="宋体" w:eastAsia="宋体" w:cs="宋体"/>
          <w:color w:val="auto"/>
          <w:sz w:val="21"/>
          <w:szCs w:val="21"/>
        </w:rPr>
        <w:t>发包人应履行专用合同条款约定的其他义务。</w:t>
      </w:r>
    </w:p>
    <w:p>
      <w:pPr>
        <w:pStyle w:val="70"/>
        <w:keepNext/>
        <w:keepLines/>
        <w:numPr>
          <w:ilvl w:val="0"/>
          <w:numId w:val="2"/>
        </w:numPr>
        <w:shd w:val="clear" w:color="auto" w:fill="auto"/>
        <w:spacing w:before="0" w:after="144"/>
        <w:jc w:val="left"/>
        <w:rPr>
          <w:rFonts w:ascii="宋体" w:hAnsi="宋体" w:eastAsia="宋体" w:cs="Times New Roman"/>
          <w:color w:val="auto"/>
          <w:sz w:val="21"/>
          <w:szCs w:val="21"/>
        </w:rPr>
      </w:pPr>
      <w:bookmarkStart w:id="19" w:name="bookmark113"/>
      <w:r>
        <w:rPr>
          <w:rStyle w:val="71"/>
          <w:rFonts w:hint="eastAsia" w:ascii="宋体" w:hAnsi="宋体" w:eastAsia="宋体" w:cs="宋体"/>
          <w:color w:val="auto"/>
          <w:sz w:val="21"/>
          <w:szCs w:val="21"/>
        </w:rPr>
        <w:t>发包人管理</w:t>
      </w:r>
      <w:bookmarkEnd w:id="19"/>
    </w:p>
    <w:p>
      <w:pPr>
        <w:pStyle w:val="69"/>
        <w:shd w:val="clear" w:color="auto" w:fill="auto"/>
        <w:spacing w:before="0" w:line="480" w:lineRule="exact"/>
        <w:ind w:firstLine="500"/>
        <w:jc w:val="both"/>
        <w:rPr>
          <w:rFonts w:ascii="宋体" w:hAnsi="宋体" w:eastAsia="宋体" w:cs="Times New Roman"/>
          <w:color w:val="auto"/>
          <w:sz w:val="21"/>
          <w:szCs w:val="21"/>
        </w:rPr>
      </w:pPr>
      <w:r>
        <w:rPr>
          <w:rFonts w:ascii="宋体" w:hAnsi="宋体" w:eastAsia="宋体" w:cs="宋体"/>
          <w:color w:val="auto"/>
          <w:sz w:val="21"/>
          <w:szCs w:val="21"/>
          <w:lang w:eastAsia="en-US"/>
        </w:rPr>
        <w:t>3.1</w:t>
      </w:r>
      <w:r>
        <w:rPr>
          <w:rFonts w:hint="eastAsia" w:ascii="宋体" w:hAnsi="宋体" w:eastAsia="宋体" w:cs="宋体"/>
          <w:color w:val="auto"/>
          <w:sz w:val="21"/>
          <w:szCs w:val="21"/>
        </w:rPr>
        <w:t>发包人代表</w:t>
      </w:r>
    </w:p>
    <w:p>
      <w:pPr>
        <w:pStyle w:val="60"/>
        <w:shd w:val="clear" w:color="auto" w:fill="auto"/>
        <w:spacing w:before="0" w:after="0" w:line="480" w:lineRule="exact"/>
        <w:ind w:firstLine="500"/>
        <w:jc w:val="both"/>
        <w:rPr>
          <w:rFonts w:ascii="宋体" w:hAnsi="宋体" w:eastAsia="宋体" w:cs="Times New Roman"/>
          <w:color w:val="auto"/>
          <w:sz w:val="21"/>
          <w:szCs w:val="21"/>
        </w:rPr>
      </w:pPr>
      <w:r>
        <w:rPr>
          <w:rFonts w:ascii="宋体" w:hAnsi="宋体" w:eastAsia="宋体" w:cs="宋体"/>
          <w:color w:val="auto"/>
          <w:sz w:val="21"/>
          <w:szCs w:val="21"/>
        </w:rPr>
        <w:t>3.1.1</w:t>
      </w:r>
      <w:r>
        <w:rPr>
          <w:rFonts w:hint="eastAsia" w:ascii="宋体" w:hAnsi="宋体" w:eastAsia="宋体" w:cs="宋体"/>
          <w:color w:val="auto"/>
          <w:sz w:val="21"/>
          <w:szCs w:val="21"/>
        </w:rPr>
        <w:t>除专用合同条款另有约定外，发包人应在合同签订后</w:t>
      </w:r>
      <w:r>
        <w:rPr>
          <w:rFonts w:ascii="宋体" w:hAnsi="宋体" w:eastAsia="宋体" w:cs="宋体"/>
          <w:color w:val="auto"/>
          <w:sz w:val="21"/>
          <w:szCs w:val="21"/>
        </w:rPr>
        <w:t>14</w:t>
      </w:r>
      <w:r>
        <w:rPr>
          <w:rFonts w:hint="eastAsia" w:ascii="宋体" w:hAnsi="宋体" w:eastAsia="宋体" w:cs="宋体"/>
          <w:color w:val="auto"/>
          <w:sz w:val="21"/>
          <w:szCs w:val="21"/>
        </w:rPr>
        <w:t>天内，将发包人代表的姓名、职务、联系方式、授权范围和授权期限书面通知勘察人，由发包人代表在其授权范围和授权期限内，代表发包人行使权利、履行义务和处理合同履行中的具体事宜。发包人代表在授权范围内的行为由发包人承担法律责任。</w:t>
      </w:r>
    </w:p>
    <w:p>
      <w:pPr>
        <w:pStyle w:val="60"/>
        <w:shd w:val="clear" w:color="auto" w:fill="auto"/>
        <w:spacing w:before="0" w:after="0" w:line="480" w:lineRule="exact"/>
        <w:ind w:firstLine="500"/>
        <w:jc w:val="both"/>
        <w:rPr>
          <w:rFonts w:ascii="宋体" w:hAnsi="宋体" w:eastAsia="宋体" w:cs="Times New Roman"/>
          <w:color w:val="auto"/>
          <w:sz w:val="21"/>
          <w:szCs w:val="21"/>
        </w:rPr>
      </w:pPr>
      <w:r>
        <w:rPr>
          <w:rFonts w:ascii="宋体" w:hAnsi="宋体" w:eastAsia="宋体" w:cs="宋体"/>
          <w:color w:val="auto"/>
          <w:sz w:val="21"/>
          <w:szCs w:val="21"/>
        </w:rPr>
        <w:t>3.1.2</w:t>
      </w:r>
      <w:r>
        <w:rPr>
          <w:rFonts w:hint="eastAsia" w:ascii="宋体" w:hAnsi="宋体" w:eastAsia="宋体" w:cs="宋体"/>
          <w:color w:val="auto"/>
          <w:sz w:val="21"/>
          <w:szCs w:val="21"/>
        </w:rPr>
        <w:t>发包人代表违反法律法规、违背职业道德守则或不按合同约定履行职责及义务，导致合同无法继续正常履行的，勘察人有权通知发包人更换发包人代表。发包人收到通知后</w:t>
      </w:r>
      <w:r>
        <w:rPr>
          <w:rFonts w:ascii="宋体" w:hAnsi="宋体" w:eastAsia="宋体" w:cs="宋体"/>
          <w:color w:val="auto"/>
          <w:sz w:val="21"/>
          <w:szCs w:val="21"/>
        </w:rPr>
        <w:t>7</w:t>
      </w:r>
      <w:r>
        <w:rPr>
          <w:rFonts w:hint="eastAsia" w:ascii="宋体" w:hAnsi="宋体" w:eastAsia="宋体" w:cs="宋体"/>
          <w:color w:val="auto"/>
          <w:sz w:val="21"/>
          <w:szCs w:val="21"/>
        </w:rPr>
        <w:t>天内，应核实完毕并将处理结果通知勘察人。</w:t>
      </w:r>
    </w:p>
    <w:p>
      <w:pPr>
        <w:pStyle w:val="60"/>
        <w:shd w:val="clear" w:color="auto" w:fill="auto"/>
        <w:spacing w:before="0" w:after="0" w:line="480" w:lineRule="exact"/>
        <w:ind w:firstLine="500"/>
        <w:jc w:val="both"/>
        <w:rPr>
          <w:rFonts w:ascii="宋体" w:hAnsi="宋体" w:eastAsia="宋体" w:cs="Times New Roman"/>
          <w:color w:val="auto"/>
          <w:sz w:val="21"/>
          <w:szCs w:val="21"/>
        </w:rPr>
      </w:pPr>
      <w:r>
        <w:rPr>
          <w:rFonts w:ascii="宋体" w:hAnsi="宋体" w:eastAsia="宋体" w:cs="宋体"/>
          <w:color w:val="auto"/>
          <w:sz w:val="21"/>
          <w:szCs w:val="21"/>
        </w:rPr>
        <w:t>3.1.3</w:t>
      </w:r>
      <w:r>
        <w:rPr>
          <w:rFonts w:hint="eastAsia" w:ascii="宋体" w:hAnsi="宋体" w:eastAsia="宋体" w:cs="宋体"/>
          <w:color w:val="auto"/>
          <w:sz w:val="21"/>
          <w:szCs w:val="21"/>
        </w:rPr>
        <w:t>发包人更换发包人代表的，应提前</w:t>
      </w:r>
      <w:r>
        <w:rPr>
          <w:rFonts w:ascii="宋体" w:hAnsi="宋体" w:eastAsia="宋体" w:cs="宋体"/>
          <w:color w:val="auto"/>
          <w:sz w:val="21"/>
          <w:szCs w:val="21"/>
        </w:rPr>
        <w:t>14</w:t>
      </w:r>
      <w:r>
        <w:rPr>
          <w:rFonts w:hint="eastAsia" w:ascii="宋体" w:hAnsi="宋体" w:eastAsia="宋体" w:cs="宋体"/>
          <w:color w:val="auto"/>
          <w:sz w:val="21"/>
          <w:szCs w:val="21"/>
        </w:rPr>
        <w:t>天将更换人员的姓名、职务、联系方式、授权范围和授权期限书面通知勘察人。</w:t>
      </w:r>
    </w:p>
    <w:p>
      <w:pPr>
        <w:pStyle w:val="60"/>
        <w:shd w:val="clear" w:color="auto" w:fill="auto"/>
        <w:spacing w:before="0" w:after="0" w:line="480" w:lineRule="exact"/>
        <w:ind w:firstLine="500"/>
        <w:jc w:val="both"/>
        <w:rPr>
          <w:rFonts w:ascii="宋体" w:hAnsi="宋体" w:eastAsia="宋体" w:cs="Times New Roman"/>
          <w:color w:val="auto"/>
          <w:sz w:val="21"/>
          <w:szCs w:val="21"/>
        </w:rPr>
      </w:pPr>
      <w:r>
        <w:rPr>
          <w:rFonts w:ascii="宋体" w:hAnsi="宋体" w:eastAsia="宋体" w:cs="宋体"/>
          <w:color w:val="auto"/>
          <w:sz w:val="21"/>
          <w:szCs w:val="21"/>
        </w:rPr>
        <w:t>3.1.4</w:t>
      </w:r>
      <w:r>
        <w:rPr>
          <w:rFonts w:hint="eastAsia" w:ascii="宋体" w:hAnsi="宋体" w:eastAsia="宋体" w:cs="宋体"/>
          <w:color w:val="auto"/>
          <w:sz w:val="21"/>
          <w:szCs w:val="21"/>
        </w:rPr>
        <w:t>发包人代表可以授权发包人的其他人员负责执行其指派的一项或多项工作。发包人代表应将被授权人员的姓名及其授权范围通知勘察人。被授权人员在授权范围内发出的指示视为己得到发包人代表的同意，与发包人代表发出的指示具有同等效力。</w:t>
      </w:r>
    </w:p>
    <w:p>
      <w:pPr>
        <w:pStyle w:val="69"/>
        <w:shd w:val="clear" w:color="auto" w:fill="auto"/>
        <w:spacing w:before="0" w:line="480" w:lineRule="exact"/>
        <w:ind w:firstLine="500"/>
        <w:jc w:val="both"/>
        <w:rPr>
          <w:rFonts w:ascii="宋体" w:hAnsi="宋体" w:eastAsia="宋体" w:cs="Times New Roman"/>
          <w:color w:val="auto"/>
          <w:sz w:val="21"/>
          <w:szCs w:val="21"/>
        </w:rPr>
      </w:pPr>
      <w:r>
        <w:rPr>
          <w:rFonts w:ascii="宋体" w:hAnsi="宋体" w:eastAsia="宋体" w:cs="宋体"/>
          <w:color w:val="auto"/>
          <w:sz w:val="21"/>
          <w:szCs w:val="21"/>
        </w:rPr>
        <w:t>3.2</w:t>
      </w:r>
      <w:r>
        <w:rPr>
          <w:rFonts w:hint="eastAsia" w:ascii="宋体" w:hAnsi="宋体" w:eastAsia="宋体" w:cs="宋体"/>
          <w:color w:val="auto"/>
          <w:sz w:val="21"/>
          <w:szCs w:val="21"/>
        </w:rPr>
        <w:t>监理人</w:t>
      </w:r>
    </w:p>
    <w:p>
      <w:pPr>
        <w:pStyle w:val="60"/>
        <w:shd w:val="clear" w:color="auto" w:fill="auto"/>
        <w:spacing w:before="0" w:after="0" w:line="480"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3.2.1</w:t>
      </w:r>
      <w:r>
        <w:rPr>
          <w:rFonts w:hint="eastAsia" w:ascii="宋体" w:hAnsi="宋体" w:eastAsia="宋体" w:cs="宋体"/>
          <w:color w:val="auto"/>
          <w:sz w:val="21"/>
          <w:szCs w:val="21"/>
        </w:rPr>
        <w:t>发包人可以根据工程建设需要确定是否委托监理人进行勘察监理。如果委托监理，则监理人享有合同约定的权力，其所发出的任何指示应视为己得到发包人的批准。监理人的监理范围、职责权限和总监理工程师信息，应在专用合同条款中指明。未经发包人批准，监理人无权修改合同。</w:t>
      </w:r>
    </w:p>
    <w:p>
      <w:pPr>
        <w:pStyle w:val="69"/>
        <w:shd w:val="clear" w:color="auto" w:fill="auto"/>
        <w:spacing w:before="0" w:line="480"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3.3</w:t>
      </w:r>
      <w:r>
        <w:rPr>
          <w:rFonts w:hint="eastAsia" w:ascii="宋体" w:hAnsi="宋体" w:eastAsia="宋体" w:cs="宋体"/>
          <w:color w:val="auto"/>
          <w:sz w:val="21"/>
          <w:szCs w:val="21"/>
        </w:rPr>
        <w:t>发包人的指示</w:t>
      </w:r>
    </w:p>
    <w:p>
      <w:pPr>
        <w:pStyle w:val="60"/>
        <w:shd w:val="clear" w:color="auto" w:fill="auto"/>
        <w:spacing w:before="0" w:after="0" w:line="480"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3.3.1</w:t>
      </w:r>
      <w:r>
        <w:rPr>
          <w:rFonts w:hint="eastAsia" w:ascii="宋体" w:hAnsi="宋体" w:eastAsia="宋体" w:cs="宋体"/>
          <w:color w:val="auto"/>
          <w:sz w:val="21"/>
          <w:szCs w:val="21"/>
        </w:rPr>
        <w:t>发包人应按合同约定向勘察人发出指示，发包人的指示应盖有发包人单位章，并由发包人代表签字确认。</w:t>
      </w:r>
    </w:p>
    <w:p>
      <w:pPr>
        <w:pStyle w:val="60"/>
        <w:shd w:val="clear" w:color="auto" w:fill="auto"/>
        <w:spacing w:before="0" w:after="0" w:line="480"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3.3.2</w:t>
      </w:r>
      <w:r>
        <w:rPr>
          <w:rFonts w:hint="eastAsia" w:ascii="宋体" w:hAnsi="宋体" w:eastAsia="宋体" w:cs="宋体"/>
          <w:color w:val="auto"/>
          <w:sz w:val="21"/>
          <w:szCs w:val="21"/>
        </w:rPr>
        <w:t>勘察人收到发包人作出的指示后应遵照执行。指示构成变更的，应按第</w:t>
      </w:r>
      <w:r>
        <w:rPr>
          <w:rFonts w:ascii="宋体" w:hAnsi="宋体" w:eastAsia="宋体" w:cs="宋体"/>
          <w:color w:val="auto"/>
          <w:sz w:val="21"/>
          <w:szCs w:val="21"/>
        </w:rPr>
        <w:t>11</w:t>
      </w:r>
      <w:r>
        <w:rPr>
          <w:rFonts w:hint="eastAsia" w:ascii="宋体" w:hAnsi="宋体" w:eastAsia="宋体" w:cs="宋体"/>
          <w:color w:val="auto"/>
          <w:sz w:val="21"/>
          <w:szCs w:val="21"/>
        </w:rPr>
        <w:t>条执行。</w:t>
      </w:r>
    </w:p>
    <w:p>
      <w:pPr>
        <w:pStyle w:val="60"/>
        <w:shd w:val="clear" w:color="auto" w:fill="auto"/>
        <w:spacing w:before="0" w:after="0" w:line="480"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3.3.3</w:t>
      </w:r>
      <w:r>
        <w:rPr>
          <w:rFonts w:hint="eastAsia" w:ascii="宋体" w:hAnsi="宋体" w:eastAsia="宋体" w:cs="宋体"/>
          <w:color w:val="auto"/>
          <w:sz w:val="21"/>
          <w:szCs w:val="21"/>
        </w:rPr>
        <w:t>在紧急情况下，发包人代表或其授权人员可以当场签发临时书面指示，勘察人应遵照执行。发包人代表应在临时书面指示发出后</w:t>
      </w:r>
      <w:r>
        <w:rPr>
          <w:rFonts w:ascii="宋体" w:hAnsi="宋体" w:eastAsia="宋体" w:cs="宋体"/>
          <w:color w:val="auto"/>
          <w:sz w:val="21"/>
          <w:szCs w:val="21"/>
        </w:rPr>
        <w:t>24</w:t>
      </w:r>
      <w:r>
        <w:rPr>
          <w:rFonts w:hint="eastAsia" w:ascii="宋体" w:hAnsi="宋体" w:eastAsia="宋体" w:cs="宋体"/>
          <w:color w:val="auto"/>
          <w:sz w:val="21"/>
          <w:szCs w:val="21"/>
        </w:rPr>
        <w:t>小时内发出书面确认函，逾期未发出书面确认函的，该临时书面指示应被视为发包人的正式指示。</w:t>
      </w:r>
    </w:p>
    <w:p>
      <w:pPr>
        <w:pStyle w:val="60"/>
        <w:shd w:val="clear" w:color="auto" w:fill="auto"/>
        <w:spacing w:before="0" w:after="0" w:line="480"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3.3.4</w:t>
      </w:r>
      <w:r>
        <w:rPr>
          <w:rFonts w:hint="eastAsia" w:ascii="宋体" w:hAnsi="宋体" w:eastAsia="宋体" w:cs="宋体"/>
          <w:color w:val="auto"/>
          <w:sz w:val="21"/>
          <w:szCs w:val="21"/>
        </w:rPr>
        <w:t>除专用合同条款另有约定外，勘察人只从发包人代表或按第</w:t>
      </w:r>
      <w:r>
        <w:rPr>
          <w:rFonts w:ascii="宋体" w:hAnsi="宋体" w:eastAsia="宋体" w:cs="宋体"/>
          <w:color w:val="auto"/>
          <w:sz w:val="21"/>
          <w:szCs w:val="21"/>
        </w:rPr>
        <w:t>3.1.4</w:t>
      </w:r>
      <w:r>
        <w:rPr>
          <w:rFonts w:hint="eastAsia" w:ascii="宋体" w:hAnsi="宋体" w:eastAsia="宋体" w:cs="宋体"/>
          <w:color w:val="auto"/>
          <w:sz w:val="21"/>
          <w:szCs w:val="21"/>
        </w:rPr>
        <w:t>项约定的被授权人员处取得指示。</w:t>
      </w:r>
    </w:p>
    <w:p>
      <w:pPr>
        <w:pStyle w:val="60"/>
        <w:shd w:val="clear" w:color="auto" w:fill="auto"/>
        <w:spacing w:before="0" w:after="0" w:line="480"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3.3.5</w:t>
      </w:r>
      <w:r>
        <w:rPr>
          <w:rFonts w:hint="eastAsia" w:ascii="宋体" w:hAnsi="宋体" w:eastAsia="宋体" w:cs="宋体"/>
          <w:color w:val="auto"/>
          <w:sz w:val="21"/>
          <w:szCs w:val="21"/>
        </w:rPr>
        <w:t>由于发包人未能按合同约定发出指示、指示延误或指示错误而导致勘察人费用增加和（或）周期延误的，发包人应承担由此增加的费用和（或）周期延误。</w:t>
      </w:r>
    </w:p>
    <w:p>
      <w:pPr>
        <w:pStyle w:val="69"/>
        <w:shd w:val="clear" w:color="auto" w:fill="auto"/>
        <w:spacing w:before="0" w:line="480"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3.4</w:t>
      </w:r>
      <w:r>
        <w:rPr>
          <w:rFonts w:hint="eastAsia" w:ascii="宋体" w:hAnsi="宋体" w:eastAsia="宋体" w:cs="宋体"/>
          <w:color w:val="auto"/>
          <w:sz w:val="21"/>
          <w:szCs w:val="21"/>
        </w:rPr>
        <w:t>决定或答复</w:t>
      </w:r>
    </w:p>
    <w:p>
      <w:pPr>
        <w:pStyle w:val="60"/>
        <w:shd w:val="clear" w:color="auto" w:fill="auto"/>
        <w:spacing w:before="0" w:after="0" w:line="480"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3.4.1</w:t>
      </w:r>
      <w:r>
        <w:rPr>
          <w:rFonts w:hint="eastAsia" w:ascii="宋体" w:hAnsi="宋体" w:eastAsia="宋体" w:cs="宋体"/>
          <w:color w:val="auto"/>
          <w:sz w:val="21"/>
          <w:szCs w:val="21"/>
        </w:rPr>
        <w:t>发包人在法律允许的范围内有权对勘察人的勘察工作和</w:t>
      </w:r>
      <w:r>
        <w:rPr>
          <w:rFonts w:ascii="宋体" w:hAnsi="宋体" w:eastAsia="宋体" w:cs="宋体"/>
          <w:color w:val="auto"/>
          <w:sz w:val="21"/>
          <w:szCs w:val="21"/>
        </w:rPr>
        <w:t>/</w:t>
      </w:r>
      <w:r>
        <w:rPr>
          <w:rFonts w:hint="eastAsia" w:ascii="宋体" w:hAnsi="宋体" w:eastAsia="宋体" w:cs="宋体"/>
          <w:color w:val="auto"/>
          <w:sz w:val="21"/>
          <w:szCs w:val="21"/>
        </w:rPr>
        <w:t>或勘察文件作出处理决定，勘察人应按照发包人的决定执行，涉及勘察服务期限或勘察费用等问题按第</w:t>
      </w:r>
      <w:r>
        <w:rPr>
          <w:rFonts w:ascii="宋体" w:hAnsi="宋体" w:eastAsia="宋体" w:cs="宋体"/>
          <w:color w:val="auto"/>
          <w:sz w:val="21"/>
          <w:szCs w:val="21"/>
        </w:rPr>
        <w:t>11</w:t>
      </w:r>
      <w:r>
        <w:rPr>
          <w:rFonts w:hint="eastAsia" w:ascii="宋体" w:hAnsi="宋体" w:eastAsia="宋体" w:cs="宋体"/>
          <w:color w:val="auto"/>
          <w:sz w:val="21"/>
          <w:szCs w:val="21"/>
        </w:rPr>
        <w:t>条的约定处理。</w:t>
      </w:r>
    </w:p>
    <w:p>
      <w:pPr>
        <w:pStyle w:val="60"/>
        <w:shd w:val="clear" w:color="auto" w:fill="auto"/>
        <w:spacing w:before="0" w:after="296" w:line="480"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3.4.2</w:t>
      </w:r>
      <w:r>
        <w:rPr>
          <w:rFonts w:hint="eastAsia" w:ascii="宋体" w:hAnsi="宋体" w:eastAsia="宋体" w:cs="宋体"/>
          <w:color w:val="auto"/>
          <w:sz w:val="21"/>
          <w:szCs w:val="21"/>
        </w:rPr>
        <w:t>发包人应在专用合同条款约定的时间之内，对勘察人书面提出的事项作出书面答复；逾期没有作出答复的，视为己获得发包人的批准。</w:t>
      </w:r>
    </w:p>
    <w:p>
      <w:pPr>
        <w:pStyle w:val="70"/>
        <w:keepNext/>
        <w:keepLines/>
        <w:numPr>
          <w:ilvl w:val="0"/>
          <w:numId w:val="2"/>
        </w:numPr>
        <w:shd w:val="clear" w:color="auto" w:fill="auto"/>
        <w:spacing w:before="0" w:after="312"/>
        <w:jc w:val="left"/>
        <w:rPr>
          <w:rFonts w:ascii="宋体" w:hAnsi="宋体" w:eastAsia="宋体" w:cs="Times New Roman"/>
          <w:color w:val="auto"/>
          <w:sz w:val="21"/>
          <w:szCs w:val="21"/>
        </w:rPr>
      </w:pPr>
      <w:bookmarkStart w:id="20" w:name="bookmark114"/>
      <w:r>
        <w:rPr>
          <w:rStyle w:val="71"/>
          <w:rFonts w:hint="eastAsia" w:ascii="宋体" w:hAnsi="宋体" w:eastAsia="宋体" w:cs="宋体"/>
          <w:b/>
          <w:bCs/>
          <w:color w:val="auto"/>
          <w:sz w:val="21"/>
          <w:szCs w:val="21"/>
        </w:rPr>
        <w:t>勘察人义务</w:t>
      </w:r>
      <w:bookmarkEnd w:id="20"/>
    </w:p>
    <w:p>
      <w:pPr>
        <w:pStyle w:val="69"/>
        <w:shd w:val="clear" w:color="auto" w:fill="auto"/>
        <w:spacing w:before="0" w:after="280" w:line="220"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lang w:eastAsia="en-US"/>
        </w:rPr>
        <w:t>4.1</w:t>
      </w:r>
      <w:r>
        <w:rPr>
          <w:rFonts w:hint="eastAsia" w:ascii="宋体" w:hAnsi="宋体" w:eastAsia="宋体" w:cs="宋体"/>
          <w:color w:val="auto"/>
          <w:sz w:val="21"/>
          <w:szCs w:val="21"/>
        </w:rPr>
        <w:t>勘察人的一般义务</w:t>
      </w:r>
    </w:p>
    <w:p>
      <w:pPr>
        <w:pStyle w:val="60"/>
        <w:shd w:val="clear" w:color="auto" w:fill="auto"/>
        <w:spacing w:before="0" w:after="280"/>
        <w:ind w:firstLine="520"/>
        <w:jc w:val="both"/>
        <w:rPr>
          <w:rFonts w:ascii="宋体" w:hAnsi="宋体" w:eastAsia="宋体" w:cs="Times New Roman"/>
          <w:color w:val="auto"/>
          <w:sz w:val="21"/>
          <w:szCs w:val="21"/>
        </w:rPr>
      </w:pPr>
      <w:r>
        <w:rPr>
          <w:rFonts w:ascii="宋体" w:hAnsi="宋体" w:eastAsia="宋体" w:cs="宋体"/>
          <w:color w:val="auto"/>
          <w:sz w:val="21"/>
          <w:szCs w:val="21"/>
          <w:lang w:eastAsia="en-US"/>
        </w:rPr>
        <w:t>4.1.1</w:t>
      </w:r>
      <w:r>
        <w:rPr>
          <w:rFonts w:hint="eastAsia" w:ascii="宋体" w:hAnsi="宋体" w:eastAsia="宋体" w:cs="宋体"/>
          <w:color w:val="auto"/>
          <w:sz w:val="21"/>
          <w:szCs w:val="21"/>
        </w:rPr>
        <w:t>遵守法律</w:t>
      </w:r>
    </w:p>
    <w:p>
      <w:pPr>
        <w:pStyle w:val="60"/>
        <w:shd w:val="clear" w:color="auto" w:fill="auto"/>
        <w:spacing w:before="0" w:after="0" w:line="360" w:lineRule="auto"/>
        <w:ind w:firstLine="520"/>
        <w:jc w:val="both"/>
        <w:rPr>
          <w:rFonts w:ascii="宋体" w:hAnsi="宋体" w:eastAsia="宋体" w:cs="Times New Roman"/>
          <w:color w:val="auto"/>
          <w:sz w:val="21"/>
          <w:szCs w:val="21"/>
        </w:rPr>
      </w:pPr>
      <w:r>
        <w:rPr>
          <w:rFonts w:hint="eastAsia" w:ascii="宋体" w:hAnsi="宋体" w:eastAsia="宋体" w:cs="宋体"/>
          <w:color w:val="auto"/>
          <w:sz w:val="21"/>
          <w:szCs w:val="21"/>
        </w:rPr>
        <w:t>勘察人在履行合同过程中应遵守法律，并保证发包人免于承担因勘察人违反法律而引起的任何责任。</w:t>
      </w:r>
    </w:p>
    <w:p>
      <w:pPr>
        <w:pStyle w:val="60"/>
        <w:shd w:val="clear" w:color="auto" w:fill="auto"/>
        <w:spacing w:before="0" w:after="0" w:line="480" w:lineRule="exact"/>
        <w:ind w:firstLine="500"/>
        <w:jc w:val="both"/>
        <w:rPr>
          <w:rFonts w:ascii="宋体" w:hAnsi="宋体" w:eastAsia="宋体" w:cs="Times New Roman"/>
          <w:color w:val="auto"/>
          <w:sz w:val="21"/>
          <w:szCs w:val="21"/>
        </w:rPr>
      </w:pPr>
      <w:r>
        <w:rPr>
          <w:rFonts w:ascii="宋体" w:hAnsi="宋体" w:eastAsia="宋体" w:cs="宋体"/>
          <w:color w:val="auto"/>
          <w:sz w:val="21"/>
          <w:szCs w:val="21"/>
        </w:rPr>
        <w:t>4.1.2</w:t>
      </w:r>
      <w:r>
        <w:rPr>
          <w:rFonts w:hint="eastAsia" w:ascii="宋体" w:hAnsi="宋体" w:eastAsia="宋体" w:cs="宋体"/>
          <w:color w:val="auto"/>
          <w:sz w:val="21"/>
          <w:szCs w:val="21"/>
        </w:rPr>
        <w:t>依法纳税</w:t>
      </w:r>
    </w:p>
    <w:p>
      <w:pPr>
        <w:pStyle w:val="60"/>
        <w:shd w:val="clear" w:color="auto" w:fill="auto"/>
        <w:spacing w:before="0" w:after="0" w:line="480" w:lineRule="exact"/>
        <w:ind w:firstLine="500"/>
        <w:jc w:val="both"/>
        <w:rPr>
          <w:rFonts w:ascii="宋体" w:hAnsi="宋体" w:eastAsia="宋体" w:cs="Times New Roman"/>
          <w:color w:val="auto"/>
          <w:sz w:val="21"/>
          <w:szCs w:val="21"/>
        </w:rPr>
      </w:pPr>
      <w:r>
        <w:rPr>
          <w:rFonts w:hint="eastAsia" w:ascii="宋体" w:hAnsi="宋体" w:eastAsia="宋体" w:cs="宋体"/>
          <w:color w:val="auto"/>
          <w:sz w:val="21"/>
          <w:szCs w:val="21"/>
        </w:rPr>
        <w:t>勘察人应按有关法律规定纳税，应缴纳的税金（含增值税）包括在合同价格之中。</w:t>
      </w:r>
    </w:p>
    <w:p>
      <w:pPr>
        <w:pStyle w:val="60"/>
        <w:shd w:val="clear" w:color="auto" w:fill="auto"/>
        <w:spacing w:before="0" w:after="0" w:line="480" w:lineRule="exact"/>
        <w:ind w:firstLine="500"/>
        <w:jc w:val="both"/>
        <w:rPr>
          <w:rFonts w:ascii="宋体" w:hAnsi="宋体" w:eastAsia="宋体" w:cs="Times New Roman"/>
          <w:color w:val="auto"/>
          <w:sz w:val="21"/>
          <w:szCs w:val="21"/>
        </w:rPr>
      </w:pPr>
      <w:r>
        <w:rPr>
          <w:rFonts w:ascii="宋体" w:hAnsi="宋体" w:eastAsia="宋体" w:cs="宋体"/>
          <w:color w:val="auto"/>
          <w:sz w:val="21"/>
          <w:szCs w:val="21"/>
        </w:rPr>
        <w:t>4.1.3</w:t>
      </w:r>
      <w:r>
        <w:rPr>
          <w:rFonts w:hint="eastAsia" w:ascii="宋体" w:hAnsi="宋体" w:eastAsia="宋体" w:cs="宋体"/>
          <w:color w:val="auto"/>
          <w:sz w:val="21"/>
          <w:szCs w:val="21"/>
        </w:rPr>
        <w:t>完成全部勘察工作</w:t>
      </w:r>
    </w:p>
    <w:p>
      <w:pPr>
        <w:pStyle w:val="60"/>
        <w:shd w:val="clear" w:color="auto" w:fill="auto"/>
        <w:spacing w:before="0" w:after="0" w:line="480" w:lineRule="exact"/>
        <w:ind w:firstLine="500"/>
        <w:jc w:val="both"/>
        <w:rPr>
          <w:rFonts w:ascii="宋体" w:hAnsi="宋体" w:eastAsia="宋体" w:cs="Times New Roman"/>
          <w:color w:val="auto"/>
          <w:sz w:val="21"/>
          <w:szCs w:val="21"/>
        </w:rPr>
      </w:pPr>
      <w:r>
        <w:rPr>
          <w:rFonts w:hint="eastAsia" w:ascii="宋体" w:hAnsi="宋体" w:eastAsia="宋体" w:cs="宋体"/>
          <w:color w:val="auto"/>
          <w:sz w:val="21"/>
          <w:szCs w:val="21"/>
        </w:rPr>
        <w:t>勘察人应按合同约定以及发包人要求，完成合同约定的全部工作，并对工作中的任何缺陷进行整改、完善和修补，使其满足合同约定的目的。勘察人应按合同约定提供勘察文件和相关服务，以及为完成勘察服务所需的劳务、材料、勘察设备、实验设施等，并应自行承担勘探场地临时设施的搭设、维护、管理和拆除。</w:t>
      </w:r>
    </w:p>
    <w:p>
      <w:pPr>
        <w:pStyle w:val="60"/>
        <w:shd w:val="clear" w:color="auto" w:fill="auto"/>
        <w:spacing w:before="0" w:after="0" w:line="480" w:lineRule="exact"/>
        <w:ind w:firstLine="500"/>
        <w:jc w:val="both"/>
        <w:rPr>
          <w:rFonts w:ascii="宋体" w:hAnsi="宋体" w:eastAsia="宋体" w:cs="Times New Roman"/>
          <w:color w:val="auto"/>
          <w:sz w:val="21"/>
          <w:szCs w:val="21"/>
        </w:rPr>
      </w:pPr>
      <w:r>
        <w:rPr>
          <w:rFonts w:ascii="宋体" w:hAnsi="宋体" w:eastAsia="宋体" w:cs="宋体"/>
          <w:color w:val="auto"/>
          <w:sz w:val="21"/>
          <w:szCs w:val="21"/>
        </w:rPr>
        <w:t>4.1.4</w:t>
      </w:r>
      <w:r>
        <w:rPr>
          <w:rFonts w:hint="eastAsia" w:ascii="宋体" w:hAnsi="宋体" w:eastAsia="宋体" w:cs="宋体"/>
          <w:color w:val="auto"/>
          <w:sz w:val="21"/>
          <w:szCs w:val="21"/>
        </w:rPr>
        <w:t>保证勘察作业规范、安全和环保</w:t>
      </w:r>
    </w:p>
    <w:p>
      <w:pPr>
        <w:pStyle w:val="60"/>
        <w:shd w:val="clear" w:color="auto" w:fill="auto"/>
        <w:spacing w:before="0" w:after="0" w:line="480" w:lineRule="exact"/>
        <w:ind w:firstLine="500"/>
        <w:jc w:val="both"/>
        <w:rPr>
          <w:rFonts w:ascii="宋体" w:hAnsi="宋体" w:eastAsia="宋体" w:cs="Times New Roman"/>
          <w:color w:val="auto"/>
          <w:sz w:val="21"/>
          <w:szCs w:val="21"/>
        </w:rPr>
      </w:pPr>
      <w:r>
        <w:rPr>
          <w:rFonts w:hint="eastAsia" w:ascii="宋体" w:hAnsi="宋体" w:eastAsia="宋体" w:cs="宋体"/>
          <w:color w:val="auto"/>
          <w:sz w:val="21"/>
          <w:szCs w:val="21"/>
        </w:rPr>
        <w:t>勘察人应按法律、规范标准和发包人要求，采取各项有效措施，确保勘察作业操作规范、安全、文明和环保，在风险性较大的环境中作业时应编制安全防护方案并制定应急预案，防止因勘察作业造成的人身伤害和财产损失。</w:t>
      </w:r>
    </w:p>
    <w:p>
      <w:pPr>
        <w:pStyle w:val="60"/>
        <w:shd w:val="clear" w:color="auto" w:fill="auto"/>
        <w:spacing w:before="0" w:after="0" w:line="480" w:lineRule="exact"/>
        <w:ind w:firstLine="500"/>
        <w:jc w:val="both"/>
        <w:rPr>
          <w:rFonts w:ascii="宋体" w:hAnsi="宋体" w:eastAsia="宋体" w:cs="Times New Roman"/>
          <w:color w:val="auto"/>
          <w:sz w:val="21"/>
          <w:szCs w:val="21"/>
        </w:rPr>
      </w:pPr>
      <w:r>
        <w:rPr>
          <w:rFonts w:hint="eastAsia" w:ascii="宋体" w:hAnsi="宋体" w:eastAsia="宋体" w:cs="宋体"/>
          <w:color w:val="auto"/>
          <w:sz w:val="21"/>
          <w:szCs w:val="21"/>
        </w:rPr>
        <w:t>对于勘察人在勘察过程中发生的人员伤亡或财产损失，或造成第三方的人员伤亡、财产损失，或由此而引起的其他一切损害和损失，发包人均不承担责任。</w:t>
      </w:r>
    </w:p>
    <w:p>
      <w:pPr>
        <w:pStyle w:val="60"/>
        <w:shd w:val="clear" w:color="auto" w:fill="auto"/>
        <w:spacing w:before="0" w:after="0" w:line="480" w:lineRule="exact"/>
        <w:ind w:firstLine="500"/>
        <w:jc w:val="both"/>
        <w:rPr>
          <w:rFonts w:ascii="宋体" w:hAnsi="宋体" w:eastAsia="宋体" w:cs="Times New Roman"/>
          <w:color w:val="auto"/>
          <w:sz w:val="21"/>
          <w:szCs w:val="21"/>
        </w:rPr>
      </w:pPr>
      <w:r>
        <w:rPr>
          <w:rFonts w:ascii="宋体" w:hAnsi="宋体" w:eastAsia="宋体" w:cs="宋体"/>
          <w:color w:val="auto"/>
          <w:sz w:val="21"/>
          <w:szCs w:val="21"/>
        </w:rPr>
        <w:t>4.1.5</w:t>
      </w:r>
      <w:r>
        <w:rPr>
          <w:rFonts w:hint="eastAsia" w:ascii="宋体" w:hAnsi="宋体" w:eastAsia="宋体" w:cs="宋体"/>
          <w:color w:val="auto"/>
          <w:sz w:val="21"/>
          <w:szCs w:val="21"/>
        </w:rPr>
        <w:t>避免勘探对公众与他人的利益造成损害</w:t>
      </w:r>
    </w:p>
    <w:p>
      <w:pPr>
        <w:pStyle w:val="60"/>
        <w:shd w:val="clear" w:color="auto" w:fill="auto"/>
        <w:spacing w:before="0" w:after="0" w:line="480" w:lineRule="exact"/>
        <w:ind w:firstLine="500"/>
        <w:jc w:val="left"/>
        <w:rPr>
          <w:rFonts w:ascii="宋体" w:hAnsi="宋体" w:eastAsia="宋体" w:cs="Times New Roman"/>
          <w:color w:val="auto"/>
          <w:sz w:val="21"/>
          <w:szCs w:val="21"/>
        </w:rPr>
      </w:pPr>
      <w:r>
        <w:rPr>
          <w:rFonts w:hint="eastAsia" w:ascii="宋体" w:hAnsi="宋体" w:eastAsia="宋体" w:cs="宋体"/>
          <w:color w:val="auto"/>
          <w:sz w:val="21"/>
          <w:szCs w:val="21"/>
        </w:rPr>
        <w:t>勘察人在进行合同约定的各项工作时，不得侵害发包人与他人使用公用道路、水源、市政管网等公共设施的权利，避免对邻近的公共设施产生干扰，保证勘探场地的周边设施、建构筑物、地下管线、架空线和其他物体的安全运行。勘察人占用或使用他人的施工场地，影响他人作业或生活的，应承担相应责任。</w:t>
      </w:r>
    </w:p>
    <w:p>
      <w:pPr>
        <w:pStyle w:val="60"/>
        <w:shd w:val="clear" w:color="auto" w:fill="auto"/>
        <w:spacing w:before="0" w:after="0" w:line="480" w:lineRule="exact"/>
        <w:ind w:firstLine="500"/>
        <w:jc w:val="both"/>
        <w:rPr>
          <w:rFonts w:ascii="宋体" w:hAnsi="宋体" w:eastAsia="宋体" w:cs="Times New Roman"/>
          <w:color w:val="auto"/>
          <w:sz w:val="21"/>
          <w:szCs w:val="21"/>
        </w:rPr>
      </w:pPr>
      <w:r>
        <w:rPr>
          <w:rFonts w:ascii="宋体" w:hAnsi="宋体" w:eastAsia="宋体" w:cs="宋体"/>
          <w:color w:val="auto"/>
          <w:sz w:val="21"/>
          <w:szCs w:val="21"/>
        </w:rPr>
        <w:t>4.1.6</w:t>
      </w:r>
      <w:r>
        <w:rPr>
          <w:rFonts w:hint="eastAsia" w:ascii="宋体" w:hAnsi="宋体" w:eastAsia="宋体" w:cs="宋体"/>
          <w:color w:val="auto"/>
          <w:sz w:val="21"/>
          <w:szCs w:val="21"/>
        </w:rPr>
        <w:t>其他义务</w:t>
      </w:r>
    </w:p>
    <w:p>
      <w:pPr>
        <w:pStyle w:val="60"/>
        <w:shd w:val="clear" w:color="auto" w:fill="auto"/>
        <w:spacing w:before="0" w:after="0" w:line="480" w:lineRule="exact"/>
        <w:ind w:firstLine="500"/>
        <w:jc w:val="both"/>
        <w:rPr>
          <w:rFonts w:ascii="宋体" w:hAnsi="宋体" w:eastAsia="宋体" w:cs="Times New Roman"/>
          <w:color w:val="auto"/>
          <w:sz w:val="21"/>
          <w:szCs w:val="21"/>
        </w:rPr>
      </w:pPr>
      <w:r>
        <w:rPr>
          <w:rFonts w:ascii="宋体" w:hAnsi="宋体" w:eastAsia="宋体" w:cs="宋体"/>
          <w:color w:val="auto"/>
          <w:sz w:val="21"/>
          <w:szCs w:val="21"/>
        </w:rPr>
        <w:t>4.1.6.1</w:t>
      </w:r>
      <w:r>
        <w:rPr>
          <w:rFonts w:hint="eastAsia" w:ascii="宋体" w:hAnsi="宋体" w:eastAsia="宋体" w:cs="宋体"/>
          <w:color w:val="auto"/>
          <w:sz w:val="21"/>
          <w:szCs w:val="21"/>
        </w:rPr>
        <w:t>勘察人对本合同工程勘察质量承担设计使用年限内的终身责任。</w:t>
      </w:r>
    </w:p>
    <w:p>
      <w:pPr>
        <w:pStyle w:val="60"/>
        <w:shd w:val="clear" w:color="auto" w:fill="auto"/>
        <w:spacing w:before="0" w:after="0" w:line="480" w:lineRule="exact"/>
        <w:ind w:firstLine="500"/>
        <w:jc w:val="both"/>
        <w:rPr>
          <w:rFonts w:ascii="宋体" w:hAnsi="宋体" w:eastAsia="宋体" w:cs="Times New Roman"/>
          <w:color w:val="auto"/>
          <w:sz w:val="21"/>
          <w:szCs w:val="21"/>
        </w:rPr>
      </w:pPr>
      <w:r>
        <w:rPr>
          <w:rFonts w:ascii="宋体" w:hAnsi="宋体" w:eastAsia="宋体" w:cs="宋体"/>
          <w:color w:val="auto"/>
          <w:sz w:val="21"/>
          <w:szCs w:val="21"/>
        </w:rPr>
        <w:t>4.1.6.2</w:t>
      </w:r>
      <w:r>
        <w:rPr>
          <w:rFonts w:hint="eastAsia" w:ascii="宋体" w:hAnsi="宋体" w:eastAsia="宋体" w:cs="宋体"/>
          <w:color w:val="auto"/>
          <w:sz w:val="21"/>
          <w:szCs w:val="21"/>
        </w:rPr>
        <w:t>勘察人应按照交通运输部《公路勘察设计工序管理试行办法》做好勘察的质量管理工作，建立健全勘察质量保证体系，加强勘察全过程的质量控制，建立完整的勘察、复核、审核、会签和批准制度，明确各阶段的责任人，并对本合同工程的勘察质量负责。</w:t>
      </w:r>
    </w:p>
    <w:p>
      <w:pPr>
        <w:pStyle w:val="60"/>
        <w:shd w:val="clear" w:color="auto" w:fill="auto"/>
        <w:spacing w:before="0" w:after="0" w:line="480" w:lineRule="exact"/>
        <w:ind w:firstLine="500"/>
        <w:jc w:val="both"/>
        <w:rPr>
          <w:rFonts w:ascii="宋体" w:hAnsi="宋体" w:eastAsia="宋体" w:cs="Times New Roman"/>
          <w:color w:val="auto"/>
          <w:sz w:val="21"/>
          <w:szCs w:val="21"/>
        </w:rPr>
      </w:pPr>
      <w:r>
        <w:rPr>
          <w:rFonts w:ascii="宋体" w:hAnsi="宋体" w:eastAsia="宋体" w:cs="宋体"/>
          <w:color w:val="auto"/>
          <w:sz w:val="21"/>
          <w:szCs w:val="21"/>
        </w:rPr>
        <w:t>4.1.6.3</w:t>
      </w:r>
      <w:r>
        <w:rPr>
          <w:rFonts w:hint="eastAsia" w:ascii="宋体" w:hAnsi="宋体" w:eastAsia="宋体" w:cs="宋体"/>
          <w:color w:val="auto"/>
          <w:sz w:val="21"/>
          <w:szCs w:val="21"/>
        </w:rPr>
        <w:t>在勘察过程中，勘察人应与本项目相干扰的铁路、航道、水利、管线、电力电信及其他相关建筑设施或特殊保护区域的主管部门进行协商，获得项目相干扰部门对推荐路线的认同意见、协议、批准文件或纪要等，以确保本项目顺利实施。</w:t>
      </w:r>
    </w:p>
    <w:p>
      <w:pPr>
        <w:pStyle w:val="60"/>
        <w:shd w:val="clear" w:color="auto" w:fill="auto"/>
        <w:spacing w:before="0" w:after="0" w:line="480" w:lineRule="exact"/>
        <w:ind w:firstLine="500"/>
        <w:jc w:val="both"/>
        <w:rPr>
          <w:rFonts w:ascii="宋体" w:hAnsi="宋体" w:eastAsia="宋体" w:cs="Times New Roman"/>
          <w:color w:val="auto"/>
          <w:sz w:val="21"/>
          <w:szCs w:val="21"/>
        </w:rPr>
      </w:pPr>
      <w:r>
        <w:rPr>
          <w:rFonts w:ascii="宋体" w:hAnsi="宋体" w:eastAsia="宋体" w:cs="宋体"/>
          <w:color w:val="auto"/>
          <w:sz w:val="21"/>
          <w:szCs w:val="21"/>
        </w:rPr>
        <w:t>4.1.6.4</w:t>
      </w:r>
      <w:r>
        <w:rPr>
          <w:rFonts w:hint="eastAsia" w:ascii="宋体" w:hAnsi="宋体" w:eastAsia="宋体" w:cs="宋体"/>
          <w:color w:val="auto"/>
          <w:sz w:val="21"/>
          <w:szCs w:val="21"/>
        </w:rPr>
        <w:t>勘察人的勘察文件应接受发包人、咨询单位及发包人的上级主管部门的审查，凡审查意见中提出的问题，勘察人应逐条给予认真贯彻落实，提交书面的反馈意见并免费修改勘察文件。</w:t>
      </w:r>
    </w:p>
    <w:p>
      <w:pPr>
        <w:pStyle w:val="60"/>
        <w:shd w:val="clear" w:color="auto" w:fill="auto"/>
        <w:spacing w:before="0" w:after="0" w:line="480" w:lineRule="exact"/>
        <w:ind w:firstLine="500"/>
        <w:jc w:val="both"/>
        <w:rPr>
          <w:rFonts w:ascii="宋体" w:hAnsi="宋体" w:eastAsia="宋体" w:cs="Times New Roman"/>
          <w:color w:val="auto"/>
          <w:sz w:val="21"/>
          <w:szCs w:val="21"/>
        </w:rPr>
      </w:pPr>
      <w:r>
        <w:rPr>
          <w:rFonts w:ascii="宋体" w:hAnsi="宋体" w:eastAsia="宋体" w:cs="宋体"/>
          <w:color w:val="auto"/>
          <w:sz w:val="21"/>
          <w:szCs w:val="21"/>
        </w:rPr>
        <w:t>4.1.6.5</w:t>
      </w:r>
      <w:r>
        <w:rPr>
          <w:rFonts w:hint="eastAsia" w:ascii="宋体" w:hAnsi="宋体" w:eastAsia="宋体" w:cs="宋体"/>
          <w:color w:val="auto"/>
          <w:sz w:val="21"/>
          <w:szCs w:val="21"/>
        </w:rPr>
        <w:t>勘察人应按发包人要求的数量（符合规范要求）提供所有为完成勘察所必需的研究试验阶段性或成果性报告，接受发包人或上级主管部门的审查，并对相关问题作出澄清和解答。</w:t>
      </w:r>
    </w:p>
    <w:p>
      <w:pPr>
        <w:pStyle w:val="60"/>
        <w:shd w:val="clear" w:color="auto" w:fill="auto"/>
        <w:spacing w:before="0" w:after="0" w:line="480" w:lineRule="exact"/>
        <w:ind w:firstLine="500"/>
        <w:jc w:val="both"/>
        <w:rPr>
          <w:rFonts w:ascii="宋体" w:hAnsi="宋体" w:eastAsia="宋体" w:cs="Times New Roman"/>
          <w:color w:val="auto"/>
          <w:sz w:val="21"/>
          <w:szCs w:val="21"/>
        </w:rPr>
      </w:pPr>
      <w:r>
        <w:rPr>
          <w:rFonts w:ascii="宋体" w:hAnsi="宋体" w:eastAsia="宋体" w:cs="宋体"/>
          <w:color w:val="auto"/>
          <w:sz w:val="21"/>
          <w:szCs w:val="21"/>
        </w:rPr>
        <w:t>4.1.6.6</w:t>
      </w:r>
      <w:r>
        <w:rPr>
          <w:rFonts w:hint="eastAsia" w:ascii="宋体" w:hAnsi="宋体" w:eastAsia="宋体" w:cs="宋体"/>
          <w:color w:val="auto"/>
          <w:sz w:val="21"/>
          <w:szCs w:val="21"/>
        </w:rPr>
        <w:t>勘察人应根据设计需要开展专题研究工作，提交相应专题研究报告，并通过发包人或上级主管部门的审查。</w:t>
      </w:r>
    </w:p>
    <w:p>
      <w:pPr>
        <w:pStyle w:val="60"/>
        <w:shd w:val="clear" w:color="auto" w:fill="auto"/>
        <w:spacing w:before="0" w:after="0" w:line="480" w:lineRule="exact"/>
        <w:ind w:firstLine="500"/>
        <w:jc w:val="both"/>
        <w:rPr>
          <w:rFonts w:ascii="宋体" w:hAnsi="宋体" w:eastAsia="宋体" w:cs="Times New Roman"/>
          <w:color w:val="auto"/>
          <w:sz w:val="21"/>
          <w:szCs w:val="21"/>
        </w:rPr>
      </w:pPr>
      <w:r>
        <w:rPr>
          <w:rFonts w:ascii="宋体" w:hAnsi="宋体" w:eastAsia="宋体" w:cs="宋体"/>
          <w:color w:val="auto"/>
          <w:sz w:val="21"/>
          <w:szCs w:val="21"/>
        </w:rPr>
        <w:t>4.1.6.7</w:t>
      </w:r>
      <w:r>
        <w:rPr>
          <w:rFonts w:hint="eastAsia" w:ascii="宋体" w:hAnsi="宋体" w:eastAsia="宋体" w:cs="宋体"/>
          <w:color w:val="auto"/>
          <w:sz w:val="21"/>
          <w:szCs w:val="21"/>
        </w:rPr>
        <w:t>勘察人应履行合同约定的其他义务。</w:t>
      </w:r>
    </w:p>
    <w:p>
      <w:pPr>
        <w:pStyle w:val="69"/>
        <w:shd w:val="clear" w:color="auto" w:fill="auto"/>
        <w:spacing w:before="0" w:line="480" w:lineRule="exact"/>
        <w:ind w:firstLine="500"/>
        <w:jc w:val="both"/>
        <w:rPr>
          <w:rFonts w:ascii="宋体" w:hAnsi="宋体" w:eastAsia="宋体" w:cs="Times New Roman"/>
          <w:color w:val="auto"/>
          <w:sz w:val="21"/>
          <w:szCs w:val="21"/>
        </w:rPr>
      </w:pPr>
      <w:r>
        <w:rPr>
          <w:rFonts w:ascii="宋体" w:hAnsi="宋体" w:eastAsia="宋体" w:cs="宋体"/>
          <w:color w:val="auto"/>
          <w:sz w:val="21"/>
          <w:szCs w:val="21"/>
        </w:rPr>
        <w:t>4.2</w:t>
      </w:r>
      <w:r>
        <w:rPr>
          <w:rFonts w:hint="eastAsia" w:ascii="宋体" w:hAnsi="宋体" w:eastAsia="宋体" w:cs="宋体"/>
          <w:color w:val="auto"/>
          <w:sz w:val="21"/>
          <w:szCs w:val="21"/>
        </w:rPr>
        <w:t>履约保证金</w:t>
      </w:r>
    </w:p>
    <w:p>
      <w:pPr>
        <w:pStyle w:val="60"/>
        <w:shd w:val="clear" w:color="auto" w:fill="auto"/>
        <w:spacing w:before="0" w:after="0" w:line="480" w:lineRule="exact"/>
        <w:ind w:firstLine="500"/>
        <w:jc w:val="both"/>
        <w:rPr>
          <w:rFonts w:ascii="宋体" w:hAnsi="宋体" w:eastAsia="宋体" w:cs="Times New Roman"/>
          <w:color w:val="auto"/>
          <w:sz w:val="21"/>
          <w:szCs w:val="21"/>
        </w:rPr>
      </w:pPr>
      <w:r>
        <w:rPr>
          <w:rFonts w:ascii="宋体" w:hAnsi="宋体" w:eastAsia="宋体" w:cs="宋体"/>
          <w:color w:val="auto"/>
          <w:sz w:val="21"/>
          <w:szCs w:val="21"/>
        </w:rPr>
        <w:t>4.2.1</w:t>
      </w:r>
      <w:r>
        <w:rPr>
          <w:rFonts w:hint="eastAsia" w:ascii="宋体" w:hAnsi="宋体" w:eastAsia="宋体" w:cs="宋体"/>
          <w:color w:val="auto"/>
          <w:sz w:val="21"/>
          <w:szCs w:val="21"/>
        </w:rPr>
        <w:t>除专用合同条款另有约定外，履约保证金自合同生效之日起生效，在最后一批勘察成果文件经上级主管部门批复且勘察人按照合同约定缴纳质量保证金之日起</w:t>
      </w:r>
      <w:r>
        <w:rPr>
          <w:rFonts w:ascii="宋体" w:hAnsi="宋体" w:eastAsia="宋体" w:cs="宋体"/>
          <w:color w:val="auto"/>
          <w:sz w:val="21"/>
          <w:szCs w:val="21"/>
        </w:rPr>
        <w:t>28</w:t>
      </w:r>
      <w:r>
        <w:rPr>
          <w:rFonts w:hint="eastAsia" w:ascii="宋体" w:hAnsi="宋体" w:eastAsia="宋体" w:cs="宋体"/>
          <w:color w:val="auto"/>
          <w:sz w:val="21"/>
          <w:szCs w:val="21"/>
        </w:rPr>
        <w:t>天后失效。如果勘察人不履行合同约定的义务或其履行不符合合同的约定，发包人有权扣划相应金额的履约保证金。</w:t>
      </w:r>
    </w:p>
    <w:p>
      <w:pPr>
        <w:pStyle w:val="60"/>
        <w:shd w:val="clear" w:color="auto" w:fill="auto"/>
        <w:spacing w:before="0" w:after="0" w:line="480" w:lineRule="exact"/>
        <w:ind w:firstLine="500"/>
        <w:jc w:val="both"/>
        <w:rPr>
          <w:rFonts w:ascii="宋体" w:hAnsi="宋体" w:eastAsia="宋体" w:cs="Times New Roman"/>
          <w:color w:val="auto"/>
          <w:sz w:val="21"/>
          <w:szCs w:val="21"/>
        </w:rPr>
      </w:pPr>
      <w:r>
        <w:rPr>
          <w:rFonts w:ascii="宋体" w:hAnsi="宋体" w:eastAsia="宋体" w:cs="宋体"/>
          <w:color w:val="auto"/>
          <w:sz w:val="21"/>
          <w:szCs w:val="21"/>
        </w:rPr>
        <w:t>4.2.2</w:t>
      </w:r>
      <w:r>
        <w:rPr>
          <w:rFonts w:hint="eastAsia" w:ascii="宋体" w:hAnsi="宋体" w:eastAsia="宋体" w:cs="宋体"/>
          <w:color w:val="auto"/>
          <w:sz w:val="21"/>
          <w:szCs w:val="21"/>
        </w:rPr>
        <w:t>发包人应在收到勘察人缴纳的质量保证金后</w:t>
      </w:r>
      <w:r>
        <w:rPr>
          <w:rFonts w:ascii="宋体" w:hAnsi="宋体" w:eastAsia="宋体" w:cs="宋体"/>
          <w:color w:val="auto"/>
          <w:sz w:val="21"/>
          <w:szCs w:val="21"/>
        </w:rPr>
        <w:t>28</w:t>
      </w:r>
      <w:r>
        <w:rPr>
          <w:rFonts w:hint="eastAsia" w:ascii="宋体" w:hAnsi="宋体" w:eastAsia="宋体" w:cs="宋体"/>
          <w:color w:val="auto"/>
          <w:sz w:val="21"/>
          <w:szCs w:val="21"/>
        </w:rPr>
        <w:t>天内将履约保证金退还给勘察人。勘察人拒绝按照本合同约定缴纳质量保证金的，发包人有权从勘察费中扣留相应金额作为质量保证金。</w:t>
      </w:r>
    </w:p>
    <w:p>
      <w:pPr>
        <w:pStyle w:val="60"/>
        <w:shd w:val="clear" w:color="auto" w:fill="auto"/>
        <w:spacing w:before="0" w:after="0" w:line="480" w:lineRule="exact"/>
        <w:ind w:firstLine="500"/>
        <w:jc w:val="both"/>
        <w:rPr>
          <w:rFonts w:ascii="宋体" w:hAnsi="宋体" w:eastAsia="宋体" w:cs="Times New Roman"/>
          <w:color w:val="auto"/>
          <w:sz w:val="21"/>
          <w:szCs w:val="21"/>
        </w:rPr>
      </w:pPr>
      <w:r>
        <w:rPr>
          <w:rFonts w:ascii="宋体" w:hAnsi="宋体" w:eastAsia="宋体" w:cs="宋体"/>
          <w:color w:val="auto"/>
          <w:sz w:val="21"/>
          <w:szCs w:val="21"/>
        </w:rPr>
        <w:t>4.2.3</w:t>
      </w:r>
      <w:r>
        <w:rPr>
          <w:rFonts w:hint="eastAsia" w:ascii="宋体" w:hAnsi="宋体" w:eastAsia="宋体" w:cs="宋体"/>
          <w:color w:val="auto"/>
          <w:sz w:val="21"/>
          <w:szCs w:val="21"/>
        </w:rPr>
        <w:t>发包人对履约保证金提出的任何索赔要求，均应在履约保证金有效期内提出。</w:t>
      </w:r>
    </w:p>
    <w:p>
      <w:pPr>
        <w:pStyle w:val="69"/>
        <w:shd w:val="clear" w:color="auto" w:fill="auto"/>
        <w:spacing w:before="0" w:line="480" w:lineRule="exact"/>
        <w:ind w:firstLine="500"/>
        <w:jc w:val="both"/>
        <w:rPr>
          <w:rFonts w:ascii="宋体" w:hAnsi="宋体" w:eastAsia="宋体" w:cs="Times New Roman"/>
          <w:color w:val="auto"/>
          <w:sz w:val="21"/>
          <w:szCs w:val="21"/>
        </w:rPr>
      </w:pPr>
      <w:r>
        <w:rPr>
          <w:rFonts w:ascii="宋体" w:hAnsi="宋体" w:eastAsia="宋体" w:cs="宋体"/>
          <w:color w:val="auto"/>
          <w:sz w:val="21"/>
          <w:szCs w:val="21"/>
        </w:rPr>
        <w:t>4.3</w:t>
      </w:r>
      <w:r>
        <w:rPr>
          <w:rFonts w:hint="eastAsia" w:ascii="宋体" w:hAnsi="宋体" w:eastAsia="宋体" w:cs="宋体"/>
          <w:color w:val="auto"/>
          <w:sz w:val="21"/>
          <w:szCs w:val="21"/>
        </w:rPr>
        <w:t>分包和不得转包</w:t>
      </w:r>
    </w:p>
    <w:p>
      <w:pPr>
        <w:pStyle w:val="60"/>
        <w:shd w:val="clear" w:color="auto" w:fill="auto"/>
        <w:spacing w:before="0" w:after="0" w:line="480" w:lineRule="exact"/>
        <w:ind w:firstLine="500"/>
        <w:jc w:val="both"/>
        <w:rPr>
          <w:rFonts w:ascii="宋体" w:hAnsi="宋体" w:eastAsia="宋体" w:cs="Times New Roman"/>
          <w:color w:val="auto"/>
          <w:sz w:val="21"/>
          <w:szCs w:val="21"/>
        </w:rPr>
      </w:pPr>
      <w:r>
        <w:rPr>
          <w:rFonts w:ascii="宋体" w:hAnsi="宋体" w:eastAsia="宋体" w:cs="宋体"/>
          <w:color w:val="auto"/>
          <w:sz w:val="21"/>
          <w:szCs w:val="21"/>
        </w:rPr>
        <w:t>4.3.1</w:t>
      </w:r>
      <w:r>
        <w:rPr>
          <w:rFonts w:hint="eastAsia" w:ascii="宋体" w:hAnsi="宋体" w:eastAsia="宋体" w:cs="宋体"/>
          <w:color w:val="auto"/>
          <w:sz w:val="21"/>
          <w:szCs w:val="21"/>
        </w:rPr>
        <w:t>勘察人不得将其勘察的全部工作转包给第三人。</w:t>
      </w:r>
    </w:p>
    <w:p>
      <w:pPr>
        <w:pStyle w:val="60"/>
        <w:shd w:val="clear" w:color="auto" w:fill="auto"/>
        <w:spacing w:before="0" w:after="0" w:line="480" w:lineRule="exact"/>
        <w:ind w:firstLine="500"/>
        <w:jc w:val="left"/>
        <w:rPr>
          <w:rFonts w:ascii="宋体" w:hAnsi="宋体" w:eastAsia="宋体" w:cs="Times New Roman"/>
          <w:color w:val="auto"/>
          <w:sz w:val="21"/>
          <w:szCs w:val="21"/>
        </w:rPr>
      </w:pPr>
      <w:r>
        <w:rPr>
          <w:rFonts w:ascii="宋体" w:hAnsi="宋体" w:eastAsia="宋体" w:cs="宋体"/>
          <w:color w:val="auto"/>
          <w:sz w:val="21"/>
          <w:szCs w:val="21"/>
        </w:rPr>
        <w:t>4.3.2</w:t>
      </w:r>
      <w:r>
        <w:rPr>
          <w:rFonts w:hint="eastAsia" w:ascii="宋体" w:hAnsi="宋体" w:eastAsia="宋体" w:cs="宋体"/>
          <w:color w:val="auto"/>
          <w:sz w:val="21"/>
          <w:szCs w:val="21"/>
        </w:rPr>
        <w:t>勘察人不得将勘察的主体、关键性工作分包给第三人。</w:t>
      </w:r>
    </w:p>
    <w:p>
      <w:pPr>
        <w:pStyle w:val="60"/>
        <w:shd w:val="clear" w:color="auto" w:fill="auto"/>
        <w:spacing w:before="0" w:after="0" w:line="480" w:lineRule="exact"/>
        <w:ind w:firstLine="500"/>
        <w:jc w:val="both"/>
        <w:rPr>
          <w:rFonts w:ascii="宋体" w:hAnsi="宋体" w:eastAsia="宋体" w:cs="Times New Roman"/>
          <w:color w:val="auto"/>
          <w:sz w:val="21"/>
          <w:szCs w:val="21"/>
        </w:rPr>
      </w:pPr>
      <w:r>
        <w:rPr>
          <w:rFonts w:ascii="宋体" w:hAnsi="宋体" w:eastAsia="宋体" w:cs="宋体"/>
          <w:color w:val="auto"/>
          <w:sz w:val="21"/>
          <w:szCs w:val="21"/>
        </w:rPr>
        <w:t>4.3.3</w:t>
      </w:r>
      <w:r>
        <w:rPr>
          <w:rFonts w:hint="eastAsia" w:ascii="宋体" w:hAnsi="宋体" w:eastAsia="宋体" w:cs="宋体"/>
          <w:color w:val="auto"/>
          <w:sz w:val="21"/>
          <w:szCs w:val="21"/>
        </w:rPr>
        <w:t>发包人同意勘察人分包工作的，勘察人应在分包合同签订之日起</w:t>
      </w:r>
      <w:r>
        <w:rPr>
          <w:rFonts w:ascii="宋体" w:hAnsi="宋体" w:eastAsia="宋体" w:cs="宋体"/>
          <w:color w:val="auto"/>
          <w:sz w:val="21"/>
          <w:szCs w:val="21"/>
        </w:rPr>
        <w:t>7</w:t>
      </w:r>
      <w:r>
        <w:rPr>
          <w:rFonts w:hint="eastAsia" w:ascii="宋体" w:hAnsi="宋体" w:eastAsia="宋体" w:cs="宋体"/>
          <w:color w:val="auto"/>
          <w:sz w:val="21"/>
          <w:szCs w:val="21"/>
        </w:rPr>
        <w:t>天内向发包人提交</w:t>
      </w:r>
      <w:r>
        <w:rPr>
          <w:rFonts w:ascii="宋体" w:hAnsi="宋体" w:eastAsia="宋体" w:cs="宋体"/>
          <w:color w:val="auto"/>
          <w:sz w:val="21"/>
          <w:szCs w:val="21"/>
        </w:rPr>
        <w:t>1</w:t>
      </w:r>
      <w:r>
        <w:rPr>
          <w:rFonts w:hint="eastAsia" w:ascii="宋体" w:hAnsi="宋体" w:eastAsia="宋体" w:cs="宋体"/>
          <w:color w:val="auto"/>
          <w:sz w:val="21"/>
          <w:szCs w:val="21"/>
        </w:rPr>
        <w:t>份分包合同副本，并对分包工作质量承担连带责任。除专用合同条款另有约定外，分包人的勘察费用由勘察人向分包人自行支付。</w:t>
      </w:r>
    </w:p>
    <w:p>
      <w:pPr>
        <w:pStyle w:val="60"/>
        <w:shd w:val="clear" w:color="auto" w:fill="auto"/>
        <w:spacing w:before="0" w:after="0" w:line="480" w:lineRule="exact"/>
        <w:ind w:firstLine="500"/>
        <w:jc w:val="both"/>
        <w:rPr>
          <w:rFonts w:ascii="宋体" w:hAnsi="宋体" w:eastAsia="宋体" w:cs="Times New Roman"/>
          <w:color w:val="auto"/>
          <w:sz w:val="21"/>
          <w:szCs w:val="21"/>
        </w:rPr>
      </w:pPr>
      <w:r>
        <w:rPr>
          <w:rFonts w:ascii="宋体" w:hAnsi="宋体" w:eastAsia="宋体" w:cs="宋体"/>
          <w:color w:val="auto"/>
          <w:sz w:val="21"/>
          <w:szCs w:val="21"/>
        </w:rPr>
        <w:t>4.3.4</w:t>
      </w:r>
      <w:r>
        <w:rPr>
          <w:rFonts w:hint="eastAsia" w:ascii="宋体" w:hAnsi="宋体" w:eastAsia="宋体" w:cs="宋体"/>
          <w:color w:val="auto"/>
          <w:sz w:val="21"/>
          <w:szCs w:val="21"/>
        </w:rPr>
        <w:t>分包人的资格能力应与其分包工作的标准和规模相适应，包括必要的企业资质、人员、设备和类似业绩等。分包人不得将分包项目再次分包或转包。</w:t>
      </w:r>
    </w:p>
    <w:p>
      <w:pPr>
        <w:pStyle w:val="60"/>
        <w:shd w:val="clear" w:color="auto" w:fill="auto"/>
        <w:spacing w:before="0" w:after="0" w:line="480" w:lineRule="exact"/>
        <w:ind w:firstLine="500"/>
        <w:jc w:val="both"/>
        <w:rPr>
          <w:rFonts w:ascii="宋体" w:hAnsi="宋体" w:eastAsia="宋体" w:cs="Times New Roman"/>
          <w:color w:val="auto"/>
          <w:sz w:val="21"/>
          <w:szCs w:val="21"/>
        </w:rPr>
      </w:pPr>
      <w:r>
        <w:rPr>
          <w:rFonts w:ascii="宋体" w:hAnsi="宋体" w:eastAsia="宋体" w:cs="宋体"/>
          <w:color w:val="auto"/>
          <w:sz w:val="21"/>
          <w:szCs w:val="21"/>
        </w:rPr>
        <w:t>4.3.5</w:t>
      </w:r>
      <w:r>
        <w:rPr>
          <w:rFonts w:hint="eastAsia" w:ascii="宋体" w:hAnsi="宋体" w:eastAsia="宋体" w:cs="宋体"/>
          <w:color w:val="auto"/>
          <w:sz w:val="21"/>
          <w:szCs w:val="21"/>
        </w:rPr>
        <w:t>发包人对勘察人与各分包人之间的法律和经济纠纷不承担任何责任和义务。</w:t>
      </w:r>
    </w:p>
    <w:p>
      <w:pPr>
        <w:pStyle w:val="69"/>
        <w:shd w:val="clear" w:color="auto" w:fill="auto"/>
        <w:spacing w:before="0" w:line="480" w:lineRule="exact"/>
        <w:ind w:firstLine="500"/>
        <w:jc w:val="both"/>
        <w:rPr>
          <w:rFonts w:ascii="宋体" w:hAnsi="宋体" w:eastAsia="宋体" w:cs="Times New Roman"/>
          <w:color w:val="auto"/>
          <w:sz w:val="21"/>
          <w:szCs w:val="21"/>
        </w:rPr>
      </w:pPr>
      <w:r>
        <w:rPr>
          <w:rFonts w:ascii="宋体" w:hAnsi="宋体" w:eastAsia="宋体" w:cs="宋体"/>
          <w:color w:val="auto"/>
          <w:sz w:val="21"/>
          <w:szCs w:val="21"/>
        </w:rPr>
        <w:t>4.4</w:t>
      </w:r>
      <w:r>
        <w:rPr>
          <w:rFonts w:hint="eastAsia" w:ascii="宋体" w:hAnsi="宋体" w:eastAsia="宋体" w:cs="宋体"/>
          <w:color w:val="auto"/>
          <w:sz w:val="21"/>
          <w:szCs w:val="21"/>
        </w:rPr>
        <w:t>联合体</w:t>
      </w:r>
    </w:p>
    <w:p>
      <w:pPr>
        <w:pStyle w:val="60"/>
        <w:shd w:val="clear" w:color="auto" w:fill="auto"/>
        <w:spacing w:before="0" w:after="0" w:line="480" w:lineRule="exact"/>
        <w:ind w:firstLine="500"/>
        <w:jc w:val="both"/>
        <w:rPr>
          <w:rFonts w:ascii="宋体" w:hAnsi="宋体" w:eastAsia="宋体" w:cs="Times New Roman"/>
          <w:color w:val="auto"/>
          <w:sz w:val="21"/>
          <w:szCs w:val="21"/>
        </w:rPr>
      </w:pPr>
      <w:r>
        <w:rPr>
          <w:rFonts w:ascii="宋体" w:hAnsi="宋体" w:eastAsia="宋体" w:cs="宋体"/>
          <w:color w:val="auto"/>
          <w:sz w:val="21"/>
          <w:szCs w:val="21"/>
        </w:rPr>
        <w:t>4.4.1</w:t>
      </w:r>
      <w:r>
        <w:rPr>
          <w:rFonts w:hint="eastAsia" w:ascii="宋体" w:hAnsi="宋体" w:eastAsia="宋体" w:cs="宋体"/>
          <w:color w:val="auto"/>
          <w:sz w:val="21"/>
          <w:szCs w:val="21"/>
        </w:rPr>
        <w:t>联合体各方应共同与发包人签订合同。联合体各方应为履行合同承担连带责任。</w:t>
      </w:r>
    </w:p>
    <w:p>
      <w:pPr>
        <w:pStyle w:val="60"/>
        <w:shd w:val="clear" w:color="auto" w:fill="auto"/>
        <w:spacing w:before="0" w:after="0" w:line="480" w:lineRule="exact"/>
        <w:ind w:firstLine="500"/>
        <w:jc w:val="both"/>
        <w:rPr>
          <w:rFonts w:ascii="宋体" w:hAnsi="宋体" w:eastAsia="宋体" w:cs="Times New Roman"/>
          <w:color w:val="auto"/>
          <w:sz w:val="21"/>
          <w:szCs w:val="21"/>
        </w:rPr>
      </w:pPr>
      <w:r>
        <w:rPr>
          <w:rFonts w:ascii="宋体" w:hAnsi="宋体" w:eastAsia="宋体" w:cs="宋体"/>
          <w:color w:val="auto"/>
          <w:sz w:val="21"/>
          <w:szCs w:val="21"/>
        </w:rPr>
        <w:t>4.4.2</w:t>
      </w:r>
      <w:r>
        <w:rPr>
          <w:rFonts w:hint="eastAsia" w:ascii="宋体" w:hAnsi="宋体" w:eastAsia="宋体" w:cs="宋体"/>
          <w:color w:val="auto"/>
          <w:sz w:val="21"/>
          <w:szCs w:val="21"/>
        </w:rPr>
        <w:t>联合体协议经发包人确认后作为合同附件。在履行合同过程中，未经发包人同意，不得修改联合体协议。</w:t>
      </w:r>
    </w:p>
    <w:p>
      <w:pPr>
        <w:pStyle w:val="60"/>
        <w:shd w:val="clear" w:color="auto" w:fill="auto"/>
        <w:spacing w:before="0" w:after="0" w:line="480" w:lineRule="exact"/>
        <w:ind w:firstLine="500"/>
        <w:jc w:val="both"/>
        <w:rPr>
          <w:rFonts w:ascii="宋体" w:hAnsi="宋体" w:eastAsia="宋体" w:cs="Times New Roman"/>
          <w:color w:val="auto"/>
          <w:sz w:val="21"/>
          <w:szCs w:val="21"/>
        </w:rPr>
      </w:pPr>
      <w:r>
        <w:rPr>
          <w:rFonts w:ascii="宋体" w:hAnsi="宋体" w:eastAsia="宋体" w:cs="宋体"/>
          <w:color w:val="auto"/>
          <w:sz w:val="21"/>
          <w:szCs w:val="21"/>
        </w:rPr>
        <w:t>4.4.3</w:t>
      </w:r>
      <w:r>
        <w:rPr>
          <w:rFonts w:hint="eastAsia" w:ascii="宋体" w:hAnsi="宋体" w:eastAsia="宋体" w:cs="宋体"/>
          <w:color w:val="auto"/>
          <w:sz w:val="21"/>
          <w:szCs w:val="21"/>
        </w:rPr>
        <w:t>联合体牵头人负责与发包人联系并接受指示，负责组织联合体各成员全面履行合同。发包人就本合同工程向联合体牵头人发布的任何指令、指示、通知等均对联合体其他成员具有同等效力。</w:t>
      </w:r>
    </w:p>
    <w:p>
      <w:pPr>
        <w:pStyle w:val="60"/>
        <w:shd w:val="clear" w:color="auto" w:fill="auto"/>
        <w:spacing w:before="0" w:after="0" w:line="480" w:lineRule="exact"/>
        <w:ind w:firstLine="500"/>
        <w:jc w:val="both"/>
        <w:rPr>
          <w:rFonts w:ascii="宋体" w:hAnsi="宋体" w:eastAsia="宋体" w:cs="Times New Roman"/>
          <w:color w:val="auto"/>
          <w:sz w:val="21"/>
          <w:szCs w:val="21"/>
        </w:rPr>
      </w:pPr>
      <w:r>
        <w:rPr>
          <w:rFonts w:ascii="宋体" w:hAnsi="宋体" w:eastAsia="宋体" w:cs="宋体"/>
          <w:color w:val="auto"/>
          <w:sz w:val="21"/>
          <w:szCs w:val="21"/>
        </w:rPr>
        <w:t>4.4.4</w:t>
      </w:r>
      <w:r>
        <w:rPr>
          <w:rFonts w:hint="eastAsia" w:ascii="宋体" w:hAnsi="宋体" w:eastAsia="宋体" w:cs="宋体"/>
          <w:color w:val="auto"/>
          <w:sz w:val="21"/>
          <w:szCs w:val="21"/>
        </w:rPr>
        <w:t>未经发包人同意，联合体的组成、结构与业务分工均不得变动。</w:t>
      </w:r>
    </w:p>
    <w:p>
      <w:pPr>
        <w:pStyle w:val="69"/>
        <w:shd w:val="clear" w:color="auto" w:fill="auto"/>
        <w:spacing w:before="0" w:line="480" w:lineRule="exact"/>
        <w:ind w:firstLine="500"/>
        <w:jc w:val="both"/>
        <w:rPr>
          <w:rFonts w:ascii="宋体" w:hAnsi="宋体" w:eastAsia="宋体" w:cs="Times New Roman"/>
          <w:color w:val="auto"/>
          <w:sz w:val="21"/>
          <w:szCs w:val="21"/>
        </w:rPr>
      </w:pPr>
      <w:r>
        <w:rPr>
          <w:rFonts w:ascii="宋体" w:hAnsi="宋体" w:eastAsia="宋体" w:cs="宋体"/>
          <w:color w:val="auto"/>
          <w:sz w:val="21"/>
          <w:szCs w:val="21"/>
        </w:rPr>
        <w:t>4.5</w:t>
      </w:r>
      <w:r>
        <w:rPr>
          <w:rFonts w:hint="eastAsia" w:ascii="宋体" w:hAnsi="宋体" w:eastAsia="宋体" w:cs="宋体"/>
          <w:color w:val="auto"/>
          <w:sz w:val="21"/>
          <w:szCs w:val="21"/>
        </w:rPr>
        <w:t>项目负责人</w:t>
      </w:r>
    </w:p>
    <w:p>
      <w:pPr>
        <w:pStyle w:val="60"/>
        <w:shd w:val="clear" w:color="auto" w:fill="auto"/>
        <w:spacing w:before="0" w:after="0" w:line="480" w:lineRule="exact"/>
        <w:ind w:firstLine="500"/>
        <w:jc w:val="both"/>
        <w:rPr>
          <w:rFonts w:ascii="宋体" w:hAnsi="宋体" w:eastAsia="宋体" w:cs="Times New Roman"/>
          <w:color w:val="auto"/>
          <w:sz w:val="21"/>
          <w:szCs w:val="21"/>
        </w:rPr>
      </w:pPr>
      <w:r>
        <w:rPr>
          <w:rFonts w:ascii="宋体" w:hAnsi="宋体" w:eastAsia="宋体" w:cs="宋体"/>
          <w:color w:val="auto"/>
          <w:sz w:val="21"/>
          <w:szCs w:val="21"/>
        </w:rPr>
        <w:t>4.5.1</w:t>
      </w:r>
      <w:r>
        <w:rPr>
          <w:rFonts w:hint="eastAsia" w:ascii="宋体" w:hAnsi="宋体" w:eastAsia="宋体" w:cs="宋体"/>
          <w:color w:val="auto"/>
          <w:sz w:val="21"/>
          <w:szCs w:val="21"/>
        </w:rPr>
        <w:t>勘察人应按合同协议书的约定指派项目负责人，并在约定的期限内到职。勘察人更换项目负责人应事先征得发包人同意，并应在更换</w:t>
      </w:r>
      <w:r>
        <w:rPr>
          <w:rFonts w:ascii="宋体" w:hAnsi="宋体" w:eastAsia="宋体" w:cs="宋体"/>
          <w:color w:val="auto"/>
          <w:sz w:val="21"/>
          <w:szCs w:val="21"/>
        </w:rPr>
        <w:t>14</w:t>
      </w:r>
      <w:r>
        <w:rPr>
          <w:rFonts w:hint="eastAsia" w:ascii="宋体" w:hAnsi="宋体" w:eastAsia="宋体" w:cs="宋体"/>
          <w:color w:val="auto"/>
          <w:sz w:val="21"/>
          <w:szCs w:val="21"/>
        </w:rPr>
        <w:t>天前将拟更换的项目负责人的姓名和详细资料提交发包人，拟更换的项目负责人资历应不低于原项目负责人。项目负责人</w:t>
      </w:r>
      <w:r>
        <w:rPr>
          <w:rFonts w:ascii="宋体" w:hAnsi="宋体" w:eastAsia="宋体" w:cs="宋体"/>
          <w:color w:val="auto"/>
          <w:sz w:val="21"/>
          <w:szCs w:val="21"/>
        </w:rPr>
        <w:t>2</w:t>
      </w:r>
      <w:r>
        <w:rPr>
          <w:rFonts w:hint="eastAsia" w:ascii="宋体" w:hAnsi="宋体" w:eastAsia="宋体" w:cs="宋体"/>
          <w:color w:val="auto"/>
          <w:sz w:val="21"/>
          <w:szCs w:val="21"/>
        </w:rPr>
        <w:t>天内不能履行职责的，应事先征得发包人同意，并委派代表代行其职责。</w:t>
      </w:r>
    </w:p>
    <w:p>
      <w:pPr>
        <w:pStyle w:val="60"/>
        <w:shd w:val="clear" w:color="auto" w:fill="auto"/>
        <w:spacing w:before="0" w:after="0" w:line="480" w:lineRule="exact"/>
        <w:ind w:firstLine="500"/>
        <w:jc w:val="both"/>
        <w:rPr>
          <w:rFonts w:ascii="宋体" w:hAnsi="宋体" w:eastAsia="宋体" w:cs="Times New Roman"/>
          <w:color w:val="auto"/>
          <w:sz w:val="21"/>
          <w:szCs w:val="21"/>
        </w:rPr>
      </w:pPr>
      <w:r>
        <w:rPr>
          <w:rFonts w:ascii="宋体" w:hAnsi="宋体" w:eastAsia="宋体" w:cs="宋体"/>
          <w:color w:val="auto"/>
          <w:sz w:val="21"/>
          <w:szCs w:val="21"/>
        </w:rPr>
        <w:t>4.5.2</w:t>
      </w:r>
      <w:r>
        <w:rPr>
          <w:rFonts w:hint="eastAsia" w:ascii="宋体" w:hAnsi="宋体" w:eastAsia="宋体" w:cs="宋体"/>
          <w:color w:val="auto"/>
          <w:sz w:val="21"/>
          <w:szCs w:val="21"/>
        </w:rPr>
        <w:t>项目负责人应按合同约定以及发包人要求，负责组织合同工作的实施。在情况紧急且无法与发包人取得联系时，可采取保证工程和人员生命财产安全的紧急措施，并在釆取措施后</w:t>
      </w:r>
      <w:r>
        <w:rPr>
          <w:rFonts w:ascii="宋体" w:hAnsi="宋体" w:eastAsia="宋体" w:cs="宋体"/>
          <w:color w:val="auto"/>
          <w:sz w:val="21"/>
          <w:szCs w:val="21"/>
        </w:rPr>
        <w:t>24</w:t>
      </w:r>
      <w:r>
        <w:rPr>
          <w:rFonts w:hint="eastAsia" w:ascii="宋体" w:hAnsi="宋体" w:eastAsia="宋体" w:cs="宋体"/>
          <w:color w:val="auto"/>
          <w:sz w:val="21"/>
          <w:szCs w:val="21"/>
        </w:rPr>
        <w:t>小时内向发包人提交书面报告。</w:t>
      </w:r>
    </w:p>
    <w:p>
      <w:pPr>
        <w:pStyle w:val="60"/>
        <w:shd w:val="clear" w:color="auto" w:fill="auto"/>
        <w:spacing w:before="0" w:after="0" w:line="480" w:lineRule="exact"/>
        <w:ind w:firstLine="500"/>
        <w:jc w:val="both"/>
        <w:rPr>
          <w:rFonts w:ascii="宋体" w:hAnsi="宋体" w:eastAsia="宋体" w:cs="Times New Roman"/>
          <w:color w:val="auto"/>
          <w:sz w:val="21"/>
          <w:szCs w:val="21"/>
        </w:rPr>
      </w:pPr>
      <w:r>
        <w:rPr>
          <w:rFonts w:ascii="宋体" w:hAnsi="宋体" w:eastAsia="宋体" w:cs="宋体"/>
          <w:color w:val="auto"/>
          <w:sz w:val="21"/>
          <w:szCs w:val="21"/>
        </w:rPr>
        <w:t>4.5.3</w:t>
      </w:r>
      <w:r>
        <w:rPr>
          <w:rFonts w:hint="eastAsia" w:ascii="宋体" w:hAnsi="宋体" w:eastAsia="宋体" w:cs="宋体"/>
          <w:color w:val="auto"/>
          <w:sz w:val="21"/>
          <w:szCs w:val="21"/>
        </w:rPr>
        <w:t>勘察人为履行合同发出的一切函件均应盖有勘察人单位章，并由勘察人的项目负责人签字确认。</w:t>
      </w:r>
    </w:p>
    <w:p>
      <w:pPr>
        <w:pStyle w:val="60"/>
        <w:shd w:val="clear" w:color="auto" w:fill="auto"/>
        <w:spacing w:before="0" w:after="0" w:line="480" w:lineRule="exact"/>
        <w:ind w:firstLine="500"/>
        <w:jc w:val="both"/>
        <w:rPr>
          <w:rFonts w:ascii="宋体" w:hAnsi="宋体" w:eastAsia="宋体" w:cs="Times New Roman"/>
          <w:color w:val="auto"/>
          <w:sz w:val="21"/>
          <w:szCs w:val="21"/>
        </w:rPr>
      </w:pPr>
      <w:r>
        <w:rPr>
          <w:rFonts w:ascii="宋体" w:hAnsi="宋体" w:eastAsia="宋体" w:cs="宋体"/>
          <w:color w:val="auto"/>
          <w:sz w:val="21"/>
          <w:szCs w:val="21"/>
        </w:rPr>
        <w:t>4.5.4</w:t>
      </w:r>
      <w:r>
        <w:rPr>
          <w:rFonts w:hint="eastAsia" w:ascii="宋体" w:hAnsi="宋体" w:eastAsia="宋体" w:cs="宋体"/>
          <w:color w:val="auto"/>
          <w:sz w:val="21"/>
          <w:szCs w:val="21"/>
        </w:rPr>
        <w:t>按照专用合同条款约定，项目负责人可以授权其下属人员履行其某项职责，但事先应将这些人员的姓名和授权范围书面通知发包人。</w:t>
      </w:r>
    </w:p>
    <w:p>
      <w:pPr>
        <w:pStyle w:val="69"/>
        <w:shd w:val="clear" w:color="auto" w:fill="auto"/>
        <w:spacing w:before="0" w:line="480" w:lineRule="exact"/>
        <w:ind w:firstLine="500"/>
        <w:jc w:val="both"/>
        <w:rPr>
          <w:rFonts w:ascii="宋体" w:hAnsi="宋体" w:eastAsia="宋体" w:cs="Times New Roman"/>
          <w:color w:val="auto"/>
          <w:sz w:val="21"/>
          <w:szCs w:val="21"/>
        </w:rPr>
      </w:pPr>
      <w:r>
        <w:rPr>
          <w:rFonts w:ascii="宋体" w:hAnsi="宋体" w:eastAsia="宋体" w:cs="宋体"/>
          <w:color w:val="auto"/>
          <w:sz w:val="21"/>
          <w:szCs w:val="21"/>
        </w:rPr>
        <w:t>4.6</w:t>
      </w:r>
      <w:r>
        <w:rPr>
          <w:rFonts w:hint="eastAsia" w:ascii="宋体" w:hAnsi="宋体" w:eastAsia="宋体" w:cs="宋体"/>
          <w:color w:val="auto"/>
          <w:sz w:val="21"/>
          <w:szCs w:val="21"/>
        </w:rPr>
        <w:t>勘察人员的管理</w:t>
      </w:r>
    </w:p>
    <w:p>
      <w:pPr>
        <w:pStyle w:val="60"/>
        <w:shd w:val="clear" w:color="auto" w:fill="auto"/>
        <w:spacing w:before="0" w:after="0" w:line="480" w:lineRule="exact"/>
        <w:ind w:firstLine="500"/>
        <w:jc w:val="left"/>
        <w:rPr>
          <w:rFonts w:ascii="宋体" w:hAnsi="宋体" w:eastAsia="宋体" w:cs="Times New Roman"/>
          <w:color w:val="auto"/>
          <w:sz w:val="21"/>
          <w:szCs w:val="21"/>
        </w:rPr>
      </w:pPr>
      <w:r>
        <w:rPr>
          <w:rFonts w:ascii="宋体" w:hAnsi="宋体" w:eastAsia="宋体" w:cs="宋体"/>
          <w:color w:val="auto"/>
          <w:sz w:val="21"/>
          <w:szCs w:val="21"/>
        </w:rPr>
        <w:t>4.6.1</w:t>
      </w:r>
      <w:r>
        <w:rPr>
          <w:rFonts w:hint="eastAsia" w:ascii="宋体" w:hAnsi="宋体" w:eastAsia="宋体" w:cs="宋体"/>
          <w:color w:val="auto"/>
          <w:sz w:val="21"/>
          <w:szCs w:val="21"/>
        </w:rPr>
        <w:t>勘察人应在接到开始勘察通知之日起</w:t>
      </w:r>
      <w:r>
        <w:rPr>
          <w:rFonts w:ascii="宋体" w:hAnsi="宋体" w:eastAsia="宋体" w:cs="宋体"/>
          <w:color w:val="auto"/>
          <w:sz w:val="21"/>
          <w:szCs w:val="21"/>
        </w:rPr>
        <w:t>7</w:t>
      </w:r>
      <w:r>
        <w:rPr>
          <w:rFonts w:hint="eastAsia" w:ascii="宋体" w:hAnsi="宋体" w:eastAsia="宋体" w:cs="宋体"/>
          <w:color w:val="auto"/>
          <w:sz w:val="21"/>
          <w:szCs w:val="21"/>
        </w:rPr>
        <w:t>天内，向发包人提交勘察项目机构以及人员安排的报告，其内容应包括项目机构设置、主要勘察人员和其他人员的名单及资格条件。主要勘察人员应相对稳定，更换主要勘察人员的，应取得发包人的同意，并向发包人提交继任人员的资格、管理经验等资料，继任人员的资历应不低于原勘察人员。项目负责人的更换，应按照本章第</w:t>
      </w:r>
      <w:r>
        <w:rPr>
          <w:rFonts w:ascii="宋体" w:hAnsi="宋体" w:eastAsia="宋体" w:cs="宋体"/>
          <w:color w:val="auto"/>
          <w:sz w:val="21"/>
          <w:szCs w:val="21"/>
        </w:rPr>
        <w:t>4.5.1</w:t>
      </w:r>
      <w:r>
        <w:rPr>
          <w:rFonts w:hint="eastAsia" w:ascii="宋体" w:hAnsi="宋体" w:eastAsia="宋体" w:cs="宋体"/>
          <w:color w:val="auto"/>
          <w:sz w:val="21"/>
          <w:szCs w:val="21"/>
        </w:rPr>
        <w:t>项规定执行。</w:t>
      </w:r>
    </w:p>
    <w:p>
      <w:pPr>
        <w:pStyle w:val="60"/>
        <w:shd w:val="clear" w:color="auto" w:fill="auto"/>
        <w:spacing w:before="0" w:after="0" w:line="480" w:lineRule="exact"/>
        <w:ind w:firstLine="500"/>
        <w:jc w:val="both"/>
        <w:rPr>
          <w:rFonts w:ascii="宋体" w:hAnsi="宋体" w:eastAsia="宋体" w:cs="Times New Roman"/>
          <w:color w:val="auto"/>
          <w:sz w:val="21"/>
          <w:szCs w:val="21"/>
        </w:rPr>
      </w:pPr>
      <w:r>
        <w:rPr>
          <w:rFonts w:ascii="宋体" w:hAnsi="宋体" w:eastAsia="宋体" w:cs="宋体"/>
          <w:color w:val="auto"/>
          <w:sz w:val="21"/>
          <w:szCs w:val="21"/>
        </w:rPr>
        <w:t>4.6.2</w:t>
      </w:r>
      <w:r>
        <w:rPr>
          <w:rFonts w:hint="eastAsia" w:ascii="宋体" w:hAnsi="宋体" w:eastAsia="宋体" w:cs="宋体"/>
          <w:color w:val="auto"/>
          <w:sz w:val="21"/>
          <w:szCs w:val="21"/>
        </w:rPr>
        <w:t>除专用合同条款另有约定外，主要勘察人员包括项目负责人、专业负责人、审核人、审定人等；其他人员包括勘察作业人员、管理人员等。</w:t>
      </w:r>
    </w:p>
    <w:p>
      <w:pPr>
        <w:pStyle w:val="60"/>
        <w:shd w:val="clear" w:color="auto" w:fill="auto"/>
        <w:spacing w:before="0" w:after="0" w:line="480" w:lineRule="exact"/>
        <w:ind w:firstLine="500"/>
        <w:jc w:val="left"/>
        <w:rPr>
          <w:rFonts w:ascii="宋体" w:hAnsi="宋体" w:eastAsia="宋体" w:cs="Times New Roman"/>
          <w:color w:val="auto"/>
          <w:sz w:val="21"/>
          <w:szCs w:val="21"/>
        </w:rPr>
      </w:pPr>
      <w:r>
        <w:rPr>
          <w:rFonts w:ascii="宋体" w:hAnsi="宋体" w:eastAsia="宋体" w:cs="宋体"/>
          <w:color w:val="auto"/>
          <w:sz w:val="21"/>
          <w:szCs w:val="21"/>
        </w:rPr>
        <w:t>4.6.3</w:t>
      </w:r>
      <w:r>
        <w:rPr>
          <w:rFonts w:hint="eastAsia" w:ascii="宋体" w:hAnsi="宋体" w:eastAsia="宋体" w:cs="宋体"/>
          <w:color w:val="auto"/>
          <w:sz w:val="21"/>
          <w:szCs w:val="21"/>
        </w:rPr>
        <w:t>勘察人应保证其主要勘察人员（含分包人）在合同期限内的任何时候，都能按时参加发包人组织的工作会议。</w:t>
      </w:r>
    </w:p>
    <w:p>
      <w:pPr>
        <w:pStyle w:val="60"/>
        <w:shd w:val="clear" w:color="auto" w:fill="auto"/>
        <w:spacing w:before="0" w:after="0" w:line="480" w:lineRule="exact"/>
        <w:ind w:firstLine="500"/>
        <w:jc w:val="left"/>
        <w:rPr>
          <w:rFonts w:ascii="宋体" w:hAnsi="宋体" w:eastAsia="宋体" w:cs="Times New Roman"/>
          <w:color w:val="auto"/>
          <w:sz w:val="21"/>
          <w:szCs w:val="21"/>
        </w:rPr>
      </w:pPr>
      <w:r>
        <w:rPr>
          <w:rFonts w:ascii="宋体" w:hAnsi="宋体" w:eastAsia="宋体" w:cs="宋体"/>
          <w:color w:val="auto"/>
          <w:sz w:val="21"/>
          <w:szCs w:val="21"/>
        </w:rPr>
        <w:t>4.6.4</w:t>
      </w:r>
      <w:r>
        <w:rPr>
          <w:rFonts w:hint="eastAsia" w:ascii="宋体" w:hAnsi="宋体" w:eastAsia="宋体" w:cs="宋体"/>
          <w:color w:val="auto"/>
          <w:sz w:val="21"/>
          <w:szCs w:val="21"/>
        </w:rPr>
        <w:t>国家规定应当持证上岗的工作人员均应持有相应的资格证明，发包人有权随时检查。发包人认为有必要时，可以进行现场考核。</w:t>
      </w:r>
    </w:p>
    <w:p>
      <w:pPr>
        <w:pStyle w:val="60"/>
        <w:shd w:val="clear" w:color="auto" w:fill="auto"/>
        <w:spacing w:before="0" w:after="0" w:line="480" w:lineRule="exact"/>
        <w:ind w:firstLine="500"/>
        <w:jc w:val="both"/>
        <w:rPr>
          <w:rFonts w:ascii="宋体" w:hAnsi="宋体" w:eastAsia="宋体" w:cs="Times New Roman"/>
          <w:color w:val="auto"/>
          <w:sz w:val="21"/>
          <w:szCs w:val="21"/>
        </w:rPr>
      </w:pPr>
      <w:r>
        <w:rPr>
          <w:rFonts w:ascii="宋体" w:hAnsi="宋体" w:eastAsia="宋体" w:cs="宋体"/>
          <w:color w:val="auto"/>
          <w:sz w:val="21"/>
          <w:szCs w:val="21"/>
        </w:rPr>
        <w:t>4.6.5</w:t>
      </w:r>
      <w:r>
        <w:rPr>
          <w:rFonts w:hint="eastAsia" w:ascii="宋体" w:hAnsi="宋体" w:eastAsia="宋体" w:cs="宋体"/>
          <w:color w:val="auto"/>
          <w:sz w:val="21"/>
          <w:szCs w:val="21"/>
        </w:rPr>
        <w:t>勘察人的工作进度未达到勘察人投标文件中承诺的进度计划时，发包人有权要求勘察人增加勘察人员，勘察人应立即安排，其费用视为己包含在合同价格中。</w:t>
      </w:r>
    </w:p>
    <w:p>
      <w:pPr>
        <w:pStyle w:val="64"/>
        <w:keepNext/>
        <w:keepLines/>
        <w:shd w:val="clear" w:color="auto" w:fill="auto"/>
        <w:spacing w:line="480" w:lineRule="exact"/>
        <w:ind w:firstLine="500"/>
        <w:rPr>
          <w:rFonts w:ascii="宋体" w:hAnsi="宋体" w:eastAsia="宋体" w:cs="Times New Roman"/>
          <w:color w:val="auto"/>
          <w:sz w:val="21"/>
          <w:szCs w:val="21"/>
        </w:rPr>
      </w:pPr>
      <w:bookmarkStart w:id="21" w:name="bookmark115"/>
      <w:r>
        <w:rPr>
          <w:rFonts w:ascii="宋体" w:hAnsi="宋体" w:eastAsia="宋体" w:cs="宋体"/>
          <w:color w:val="auto"/>
          <w:sz w:val="21"/>
          <w:szCs w:val="21"/>
        </w:rPr>
        <w:t>4.7</w:t>
      </w:r>
      <w:r>
        <w:rPr>
          <w:rFonts w:hint="eastAsia" w:ascii="宋体" w:hAnsi="宋体" w:eastAsia="宋体" w:cs="宋体"/>
          <w:color w:val="auto"/>
          <w:sz w:val="21"/>
          <w:szCs w:val="21"/>
        </w:rPr>
        <w:t>撤换项目负责人和其他人员</w:t>
      </w:r>
      <w:bookmarkEnd w:id="21"/>
    </w:p>
    <w:p>
      <w:pPr>
        <w:pStyle w:val="60"/>
        <w:shd w:val="clear" w:color="auto" w:fill="auto"/>
        <w:spacing w:before="0" w:after="0" w:line="480" w:lineRule="exact"/>
        <w:ind w:firstLine="500"/>
        <w:jc w:val="left"/>
        <w:rPr>
          <w:rFonts w:ascii="宋体" w:hAnsi="宋体" w:eastAsia="宋体" w:cs="Times New Roman"/>
          <w:color w:val="auto"/>
          <w:sz w:val="21"/>
          <w:szCs w:val="21"/>
        </w:rPr>
      </w:pPr>
      <w:r>
        <w:rPr>
          <w:rFonts w:hint="eastAsia" w:ascii="宋体" w:hAnsi="宋体" w:eastAsia="宋体" w:cs="宋体"/>
          <w:color w:val="auto"/>
          <w:sz w:val="21"/>
          <w:szCs w:val="21"/>
        </w:rPr>
        <w:t>勘察人应对其项目负责人和其他人员进行有效管理。发包人要求撤换不能胜任本职工作、行为不端或玩忽职守的项目负责人和其他人员的，勘察人应予以撤换。</w:t>
      </w:r>
    </w:p>
    <w:p>
      <w:pPr>
        <w:pStyle w:val="64"/>
        <w:keepNext/>
        <w:keepLines/>
        <w:shd w:val="clear" w:color="auto" w:fill="auto"/>
        <w:spacing w:line="480" w:lineRule="exact"/>
        <w:ind w:firstLine="500"/>
        <w:rPr>
          <w:rFonts w:ascii="宋体" w:hAnsi="宋体" w:eastAsia="宋体" w:cs="Times New Roman"/>
          <w:color w:val="auto"/>
          <w:sz w:val="21"/>
          <w:szCs w:val="21"/>
        </w:rPr>
      </w:pPr>
      <w:bookmarkStart w:id="22" w:name="bookmark116"/>
      <w:r>
        <w:rPr>
          <w:rFonts w:ascii="宋体" w:hAnsi="宋体" w:eastAsia="宋体" w:cs="宋体"/>
          <w:color w:val="auto"/>
          <w:sz w:val="21"/>
          <w:szCs w:val="21"/>
        </w:rPr>
        <w:t>4.8</w:t>
      </w:r>
      <w:r>
        <w:rPr>
          <w:rFonts w:hint="eastAsia" w:ascii="宋体" w:hAnsi="宋体" w:eastAsia="宋体" w:cs="宋体"/>
          <w:color w:val="auto"/>
          <w:sz w:val="21"/>
          <w:szCs w:val="21"/>
        </w:rPr>
        <w:t>保障人员的合法权益</w:t>
      </w:r>
      <w:bookmarkEnd w:id="22"/>
    </w:p>
    <w:p>
      <w:pPr>
        <w:pStyle w:val="60"/>
        <w:shd w:val="clear" w:color="auto" w:fill="auto"/>
        <w:spacing w:before="0" w:after="0" w:line="480" w:lineRule="exact"/>
        <w:ind w:firstLine="500"/>
        <w:jc w:val="left"/>
        <w:rPr>
          <w:rFonts w:ascii="宋体" w:hAnsi="宋体" w:eastAsia="宋体" w:cs="Times New Roman"/>
          <w:color w:val="auto"/>
          <w:sz w:val="21"/>
          <w:szCs w:val="21"/>
        </w:rPr>
      </w:pPr>
      <w:r>
        <w:rPr>
          <w:rFonts w:ascii="宋体" w:hAnsi="宋体" w:eastAsia="宋体" w:cs="宋体"/>
          <w:color w:val="auto"/>
          <w:sz w:val="21"/>
          <w:szCs w:val="21"/>
        </w:rPr>
        <w:t>4.8.1</w:t>
      </w:r>
      <w:r>
        <w:rPr>
          <w:rFonts w:hint="eastAsia" w:ascii="宋体" w:hAnsi="宋体" w:eastAsia="宋体" w:cs="宋体"/>
          <w:color w:val="auto"/>
          <w:sz w:val="21"/>
          <w:szCs w:val="21"/>
        </w:rPr>
        <w:t>勘察人应与其雇佣的人员签订劳动合同，并按时发放工资。</w:t>
      </w:r>
    </w:p>
    <w:p>
      <w:pPr>
        <w:pStyle w:val="60"/>
        <w:shd w:val="clear" w:color="auto" w:fill="auto"/>
        <w:spacing w:before="0" w:after="0" w:line="480" w:lineRule="exact"/>
        <w:ind w:firstLine="500"/>
        <w:jc w:val="left"/>
        <w:rPr>
          <w:rFonts w:ascii="宋体" w:hAnsi="宋体" w:eastAsia="宋体" w:cs="Times New Roman"/>
          <w:color w:val="auto"/>
          <w:sz w:val="21"/>
          <w:szCs w:val="21"/>
        </w:rPr>
      </w:pPr>
      <w:r>
        <w:rPr>
          <w:rFonts w:ascii="宋体" w:hAnsi="宋体" w:eastAsia="宋体" w:cs="宋体"/>
          <w:color w:val="auto"/>
          <w:sz w:val="21"/>
          <w:szCs w:val="21"/>
        </w:rPr>
        <w:t>4.8.2</w:t>
      </w:r>
      <w:r>
        <w:rPr>
          <w:rFonts w:hint="eastAsia" w:ascii="宋体" w:hAnsi="宋体" w:eastAsia="宋体" w:cs="宋体"/>
          <w:color w:val="auto"/>
          <w:sz w:val="21"/>
          <w:szCs w:val="21"/>
        </w:rPr>
        <w:t>勘察人应按劳动法的规定安排工作时间，保证其雇佣人员享有休息和休假的权利。因勘察需要占用休假日或延长工作时间的，应不超过法律规定的限度，并按法律规定给予补休或付酬。</w:t>
      </w:r>
    </w:p>
    <w:p>
      <w:pPr>
        <w:pStyle w:val="60"/>
        <w:shd w:val="clear" w:color="auto" w:fill="auto"/>
        <w:spacing w:before="0" w:after="0" w:line="480" w:lineRule="exact"/>
        <w:ind w:firstLine="500"/>
        <w:jc w:val="left"/>
        <w:rPr>
          <w:rFonts w:ascii="宋体" w:hAnsi="宋体" w:eastAsia="宋体" w:cs="Times New Roman"/>
          <w:color w:val="auto"/>
          <w:sz w:val="21"/>
          <w:szCs w:val="21"/>
        </w:rPr>
      </w:pPr>
      <w:r>
        <w:rPr>
          <w:rFonts w:ascii="宋体" w:hAnsi="宋体" w:eastAsia="宋体" w:cs="宋体"/>
          <w:color w:val="auto"/>
          <w:sz w:val="21"/>
          <w:szCs w:val="21"/>
        </w:rPr>
        <w:t>4.8.3</w:t>
      </w:r>
      <w:r>
        <w:rPr>
          <w:rFonts w:hint="eastAsia" w:ascii="宋体" w:hAnsi="宋体" w:eastAsia="宋体" w:cs="宋体"/>
          <w:color w:val="auto"/>
          <w:sz w:val="21"/>
          <w:szCs w:val="21"/>
        </w:rPr>
        <w:t>勘察人应为其现场人员提供必要的食宿条件，以及符合环境保护和卫生要求的生活环境，在远离城镇的勘探场地，还应配备必要的伤病防治和急救设施。</w:t>
      </w:r>
    </w:p>
    <w:p>
      <w:pPr>
        <w:pStyle w:val="60"/>
        <w:shd w:val="clear" w:color="auto" w:fill="auto"/>
        <w:spacing w:before="0" w:after="280" w:line="480" w:lineRule="exact"/>
        <w:ind w:firstLine="500"/>
        <w:jc w:val="left"/>
        <w:rPr>
          <w:rFonts w:hint="eastAsia" w:ascii="宋体" w:hAnsi="宋体" w:eastAsia="宋体" w:cs="宋体"/>
          <w:color w:val="auto"/>
          <w:sz w:val="21"/>
          <w:szCs w:val="21"/>
        </w:rPr>
      </w:pPr>
      <w:r>
        <w:rPr>
          <w:rFonts w:ascii="宋体" w:hAnsi="宋体" w:eastAsia="宋体" w:cs="宋体"/>
          <w:color w:val="auto"/>
          <w:sz w:val="21"/>
          <w:szCs w:val="21"/>
        </w:rPr>
        <w:t>4.8.4</w:t>
      </w:r>
      <w:r>
        <w:rPr>
          <w:rFonts w:hint="eastAsia" w:ascii="宋体" w:hAnsi="宋体" w:eastAsia="宋体" w:cs="宋体"/>
          <w:color w:val="auto"/>
          <w:sz w:val="21"/>
          <w:szCs w:val="21"/>
        </w:rPr>
        <w:t>勘察人应按国家有关劳动保护的规定，采取有效的防止粉尘、降低噪声、控制有害气体和保障高温、高寒、高空作业安全等劳动保护措施。其雇佣人员在勘探作业中受到伤害的，勘察人应立即采取有效措施进行抢救和治疗。</w:t>
      </w:r>
    </w:p>
    <w:p>
      <w:pPr>
        <w:pStyle w:val="60"/>
        <w:shd w:val="clear" w:color="auto" w:fill="auto"/>
        <w:spacing w:before="0" w:after="280" w:line="480" w:lineRule="exact"/>
        <w:ind w:firstLine="500"/>
        <w:jc w:val="left"/>
        <w:rPr>
          <w:rFonts w:ascii="宋体" w:hAnsi="宋体" w:eastAsia="宋体" w:cs="Times New Roman"/>
          <w:color w:val="auto"/>
          <w:sz w:val="21"/>
          <w:szCs w:val="21"/>
        </w:rPr>
      </w:pPr>
      <w:r>
        <w:rPr>
          <w:rFonts w:ascii="宋体" w:hAnsi="宋体" w:eastAsia="宋体" w:cs="宋体"/>
          <w:color w:val="auto"/>
          <w:sz w:val="21"/>
          <w:szCs w:val="21"/>
        </w:rPr>
        <w:t>4.8.5</w:t>
      </w:r>
      <w:r>
        <w:rPr>
          <w:rFonts w:hint="eastAsia" w:ascii="宋体" w:hAnsi="宋体" w:eastAsia="宋体" w:cs="宋体"/>
          <w:color w:val="auto"/>
          <w:sz w:val="21"/>
          <w:szCs w:val="21"/>
        </w:rPr>
        <w:t>勘察人应按有关法律规定和合同约定，为其雇佣人员办理保险。</w:t>
      </w:r>
    </w:p>
    <w:p>
      <w:pPr>
        <w:pStyle w:val="64"/>
        <w:keepNext/>
        <w:keepLines/>
        <w:shd w:val="clear" w:color="auto" w:fill="auto"/>
        <w:spacing w:line="480" w:lineRule="exact"/>
        <w:ind w:firstLine="500"/>
        <w:rPr>
          <w:rFonts w:ascii="宋体" w:hAnsi="宋体" w:eastAsia="宋体" w:cs="Times New Roman"/>
          <w:color w:val="auto"/>
          <w:sz w:val="21"/>
          <w:szCs w:val="21"/>
        </w:rPr>
      </w:pPr>
      <w:bookmarkStart w:id="23" w:name="bookmark117"/>
      <w:r>
        <w:rPr>
          <w:rFonts w:ascii="宋体" w:hAnsi="宋体" w:eastAsia="宋体" w:cs="宋体"/>
          <w:color w:val="auto"/>
          <w:sz w:val="21"/>
          <w:szCs w:val="21"/>
        </w:rPr>
        <w:t>4.9</w:t>
      </w:r>
      <w:r>
        <w:rPr>
          <w:rFonts w:hint="eastAsia" w:ascii="宋体" w:hAnsi="宋体" w:eastAsia="宋体" w:cs="宋体"/>
          <w:color w:val="auto"/>
          <w:sz w:val="21"/>
          <w:szCs w:val="21"/>
        </w:rPr>
        <w:t>合同价款应专款专用</w:t>
      </w:r>
      <w:bookmarkEnd w:id="23"/>
    </w:p>
    <w:p>
      <w:pPr>
        <w:pStyle w:val="60"/>
        <w:shd w:val="clear" w:color="auto" w:fill="auto"/>
        <w:spacing w:before="0" w:after="316" w:line="480" w:lineRule="exact"/>
        <w:ind w:firstLine="500"/>
        <w:jc w:val="both"/>
        <w:rPr>
          <w:rFonts w:ascii="宋体" w:hAnsi="宋体" w:eastAsia="宋体" w:cs="Times New Roman"/>
          <w:color w:val="auto"/>
          <w:sz w:val="21"/>
          <w:szCs w:val="21"/>
        </w:rPr>
      </w:pPr>
      <w:r>
        <w:rPr>
          <w:rFonts w:hint="eastAsia" w:ascii="宋体" w:hAnsi="宋体" w:eastAsia="宋体" w:cs="宋体"/>
          <w:color w:val="auto"/>
          <w:sz w:val="21"/>
          <w:szCs w:val="21"/>
        </w:rPr>
        <w:t>发包人按合同约定支付给勘察人的各项价款，应专用于合同勘察工作。</w:t>
      </w:r>
    </w:p>
    <w:p>
      <w:pPr>
        <w:pStyle w:val="70"/>
        <w:keepNext/>
        <w:keepLines/>
        <w:numPr>
          <w:ilvl w:val="0"/>
          <w:numId w:val="2"/>
        </w:numPr>
        <w:shd w:val="clear" w:color="auto" w:fill="auto"/>
        <w:spacing w:before="0" w:after="104"/>
        <w:jc w:val="left"/>
        <w:rPr>
          <w:rFonts w:ascii="宋体" w:hAnsi="宋体" w:eastAsia="宋体" w:cs="Times New Roman"/>
          <w:color w:val="auto"/>
          <w:sz w:val="21"/>
          <w:szCs w:val="21"/>
        </w:rPr>
      </w:pPr>
      <w:bookmarkStart w:id="24" w:name="bookmark118"/>
      <w:r>
        <w:rPr>
          <w:rStyle w:val="71"/>
          <w:rFonts w:hint="eastAsia" w:ascii="宋体" w:hAnsi="宋体" w:eastAsia="宋体" w:cs="宋体"/>
          <w:color w:val="auto"/>
          <w:sz w:val="21"/>
          <w:szCs w:val="21"/>
        </w:rPr>
        <w:t>勘察要求</w:t>
      </w:r>
      <w:bookmarkEnd w:id="24"/>
    </w:p>
    <w:p>
      <w:pPr>
        <w:pStyle w:val="64"/>
        <w:keepNext/>
        <w:keepLines/>
        <w:shd w:val="clear" w:color="auto" w:fill="auto"/>
        <w:spacing w:line="480" w:lineRule="exact"/>
        <w:ind w:firstLine="500"/>
        <w:rPr>
          <w:rFonts w:ascii="宋体" w:hAnsi="宋体" w:eastAsia="宋体" w:cs="Times New Roman"/>
          <w:color w:val="auto"/>
          <w:sz w:val="21"/>
          <w:szCs w:val="21"/>
        </w:rPr>
      </w:pPr>
      <w:bookmarkStart w:id="25" w:name="bookmark119"/>
      <w:r>
        <w:rPr>
          <w:rFonts w:ascii="宋体" w:hAnsi="宋体" w:eastAsia="宋体" w:cs="宋体"/>
          <w:color w:val="auto"/>
          <w:sz w:val="21"/>
          <w:szCs w:val="21"/>
          <w:lang w:eastAsia="en-US"/>
        </w:rPr>
        <w:t xml:space="preserve">5.1 </w:t>
      </w:r>
      <w:r>
        <w:rPr>
          <w:rFonts w:ascii="宋体" w:hAnsi="宋体" w:eastAsia="宋体" w:cs="宋体"/>
          <w:color w:val="auto"/>
          <w:sz w:val="21"/>
          <w:szCs w:val="21"/>
        </w:rPr>
        <w:t>—</w:t>
      </w:r>
      <w:r>
        <w:rPr>
          <w:rFonts w:hint="eastAsia" w:ascii="宋体" w:hAnsi="宋体" w:eastAsia="宋体" w:cs="宋体"/>
          <w:color w:val="auto"/>
          <w:sz w:val="21"/>
          <w:szCs w:val="21"/>
        </w:rPr>
        <w:t>般要求</w:t>
      </w:r>
      <w:bookmarkEnd w:id="25"/>
    </w:p>
    <w:p>
      <w:pPr>
        <w:pStyle w:val="60"/>
        <w:shd w:val="clear" w:color="auto" w:fill="auto"/>
        <w:spacing w:before="0" w:after="0" w:line="480" w:lineRule="exact"/>
        <w:ind w:firstLine="500"/>
        <w:jc w:val="both"/>
        <w:rPr>
          <w:rFonts w:ascii="宋体" w:hAnsi="宋体" w:eastAsia="宋体" w:cs="Times New Roman"/>
          <w:color w:val="auto"/>
          <w:sz w:val="21"/>
          <w:szCs w:val="21"/>
        </w:rPr>
      </w:pPr>
      <w:r>
        <w:rPr>
          <w:rFonts w:ascii="宋体" w:hAnsi="宋体" w:eastAsia="宋体" w:cs="宋体"/>
          <w:color w:val="auto"/>
          <w:sz w:val="21"/>
          <w:szCs w:val="21"/>
        </w:rPr>
        <w:t>5.1.1</w:t>
      </w:r>
      <w:r>
        <w:rPr>
          <w:rFonts w:hint="eastAsia" w:ascii="宋体" w:hAnsi="宋体" w:eastAsia="宋体" w:cs="宋体"/>
          <w:color w:val="auto"/>
          <w:sz w:val="21"/>
          <w:szCs w:val="21"/>
        </w:rPr>
        <w:t>发包人应遵守法律和规范标准，不得以任何理由要求勘察人违反法律和工程质量、安全标准进行勘察服务，降低工程质量。</w:t>
      </w:r>
    </w:p>
    <w:p>
      <w:pPr>
        <w:pStyle w:val="60"/>
        <w:shd w:val="clear" w:color="auto" w:fill="auto"/>
        <w:spacing w:before="0" w:after="0" w:line="480" w:lineRule="exact"/>
        <w:ind w:firstLine="500"/>
        <w:jc w:val="both"/>
        <w:rPr>
          <w:rFonts w:ascii="宋体" w:hAnsi="宋体" w:eastAsia="宋体" w:cs="Times New Roman"/>
          <w:color w:val="auto"/>
          <w:sz w:val="21"/>
          <w:szCs w:val="21"/>
        </w:rPr>
      </w:pPr>
      <w:r>
        <w:rPr>
          <w:rFonts w:ascii="宋体" w:hAnsi="宋体" w:eastAsia="宋体" w:cs="宋体"/>
          <w:color w:val="auto"/>
          <w:sz w:val="21"/>
          <w:szCs w:val="21"/>
        </w:rPr>
        <w:t>5.1.2</w:t>
      </w:r>
      <w:r>
        <w:rPr>
          <w:rFonts w:hint="eastAsia" w:ascii="宋体" w:hAnsi="宋体" w:eastAsia="宋体" w:cs="宋体"/>
          <w:color w:val="auto"/>
          <w:sz w:val="21"/>
          <w:szCs w:val="21"/>
        </w:rPr>
        <w:t>勘察人应按照法律规定，以及国家、行业和地方的规范和标准完成勘察设工作，并应符合发包人要求。各项规范、标准和发包人要求之间如对同一内容的描述不一致时，应以描述更为严格的内容为准。</w:t>
      </w:r>
    </w:p>
    <w:p>
      <w:pPr>
        <w:pStyle w:val="60"/>
        <w:shd w:val="clear" w:color="auto" w:fill="auto"/>
        <w:spacing w:before="0" w:after="0" w:line="480" w:lineRule="exact"/>
        <w:ind w:firstLine="500"/>
        <w:jc w:val="both"/>
        <w:rPr>
          <w:rFonts w:ascii="宋体" w:hAnsi="宋体" w:eastAsia="宋体" w:cs="Times New Roman"/>
          <w:color w:val="auto"/>
          <w:sz w:val="21"/>
          <w:szCs w:val="21"/>
        </w:rPr>
      </w:pPr>
      <w:r>
        <w:rPr>
          <w:rFonts w:ascii="宋体" w:hAnsi="宋体" w:eastAsia="宋体" w:cs="宋体"/>
          <w:color w:val="auto"/>
          <w:sz w:val="21"/>
          <w:szCs w:val="21"/>
        </w:rPr>
        <w:t>5.1.3</w:t>
      </w:r>
      <w:r>
        <w:rPr>
          <w:rFonts w:hint="eastAsia" w:ascii="宋体" w:hAnsi="宋体" w:eastAsia="宋体" w:cs="宋体"/>
          <w:color w:val="auto"/>
          <w:sz w:val="21"/>
          <w:szCs w:val="21"/>
        </w:rPr>
        <w:t>除专用合同条款另有约定外，勘察人完成勘察工作所应遵守的法律规定，以及国家、行业和地方的规范和标准，均应视为在基准日适用的版本。基准日之后，前述版本发生重大变化，或者有新的法律，以及国家、行业和地方的规范和标准实施的，勘察人应向发包人提出遵守新规定的建议。发包人应在收到建议后</w:t>
      </w:r>
      <w:r>
        <w:rPr>
          <w:rFonts w:ascii="宋体" w:hAnsi="宋体" w:eastAsia="宋体" w:cs="宋体"/>
          <w:color w:val="auto"/>
          <w:sz w:val="21"/>
          <w:szCs w:val="21"/>
        </w:rPr>
        <w:t>7</w:t>
      </w:r>
      <w:r>
        <w:rPr>
          <w:rFonts w:hint="eastAsia" w:ascii="宋体" w:hAnsi="宋体" w:eastAsia="宋体" w:cs="宋体"/>
          <w:color w:val="auto"/>
          <w:sz w:val="21"/>
          <w:szCs w:val="21"/>
        </w:rPr>
        <w:t>天内发出是否遵守新规定的指示。发包人指示遵守新规定的，按照第</w:t>
      </w:r>
      <w:r>
        <w:rPr>
          <w:rFonts w:ascii="宋体" w:hAnsi="宋体" w:eastAsia="宋体" w:cs="宋体"/>
          <w:color w:val="auto"/>
          <w:sz w:val="21"/>
          <w:szCs w:val="21"/>
        </w:rPr>
        <w:t>11</w:t>
      </w:r>
      <w:r>
        <w:rPr>
          <w:rFonts w:hint="eastAsia" w:ascii="宋体" w:hAnsi="宋体" w:eastAsia="宋体" w:cs="宋体"/>
          <w:color w:val="auto"/>
          <w:sz w:val="21"/>
          <w:szCs w:val="21"/>
        </w:rPr>
        <w:t>条约定执行。</w:t>
      </w:r>
    </w:p>
    <w:p>
      <w:pPr>
        <w:pStyle w:val="60"/>
        <w:shd w:val="clear" w:color="auto" w:fill="auto"/>
        <w:spacing w:before="0" w:after="0" w:line="480" w:lineRule="exact"/>
        <w:ind w:firstLine="500"/>
        <w:jc w:val="left"/>
        <w:rPr>
          <w:rFonts w:ascii="宋体" w:hAnsi="宋体" w:eastAsia="宋体" w:cs="Times New Roman"/>
          <w:color w:val="auto"/>
          <w:sz w:val="21"/>
          <w:szCs w:val="21"/>
        </w:rPr>
      </w:pPr>
      <w:r>
        <w:rPr>
          <w:rFonts w:ascii="宋体" w:hAnsi="宋体" w:eastAsia="宋体" w:cs="宋体"/>
          <w:color w:val="auto"/>
          <w:sz w:val="21"/>
          <w:szCs w:val="21"/>
        </w:rPr>
        <w:t>5.1.4</w:t>
      </w:r>
      <w:r>
        <w:rPr>
          <w:rFonts w:hint="eastAsia" w:ascii="宋体" w:hAnsi="宋体" w:eastAsia="宋体" w:cs="宋体"/>
          <w:color w:val="auto"/>
          <w:sz w:val="21"/>
          <w:szCs w:val="21"/>
        </w:rPr>
        <w:t>勘察人在勘察服务中选用的材料、设备，应注明其规格、型号、性能等技术指标及适应性，满足质量、安全、节能、环保等要求，但不得指定生产厂、供应商和产品品牌。</w:t>
      </w:r>
    </w:p>
    <w:p>
      <w:pPr>
        <w:pStyle w:val="60"/>
        <w:shd w:val="clear" w:color="auto" w:fill="auto"/>
        <w:spacing w:before="0" w:after="0" w:line="480" w:lineRule="exact"/>
        <w:ind w:firstLine="500"/>
        <w:jc w:val="both"/>
        <w:rPr>
          <w:rFonts w:ascii="宋体" w:hAnsi="宋体" w:eastAsia="宋体" w:cs="Times New Roman"/>
          <w:color w:val="auto"/>
          <w:sz w:val="21"/>
          <w:szCs w:val="21"/>
        </w:rPr>
      </w:pPr>
      <w:r>
        <w:rPr>
          <w:rFonts w:ascii="宋体" w:hAnsi="宋体" w:eastAsia="宋体" w:cs="宋体"/>
          <w:color w:val="auto"/>
          <w:sz w:val="21"/>
          <w:szCs w:val="21"/>
        </w:rPr>
        <w:t>5.1.5</w:t>
      </w:r>
      <w:r>
        <w:rPr>
          <w:rFonts w:hint="eastAsia" w:ascii="宋体" w:hAnsi="宋体" w:eastAsia="宋体" w:cs="宋体"/>
          <w:color w:val="auto"/>
          <w:sz w:val="21"/>
          <w:szCs w:val="21"/>
        </w:rPr>
        <w:t>勘察人必须贯彻“技术先进、安全可靠、适用耐久、经济合理”的基本原则，加强总体设计，重视与城镇建设总体规划、土地开发利用规划、农田水利、森林植被、水土保持、生态环境、特殊设施保护区、其他运输方式和其他建设工程的总体协调和配合，节约资源、保护环境、合理选用技术指标、树立全寿命周期成本的理念，充分发挥工程建设项目经济、社会和环境的综合效益。</w:t>
      </w:r>
    </w:p>
    <w:p>
      <w:pPr>
        <w:pStyle w:val="64"/>
        <w:keepNext/>
        <w:keepLines/>
        <w:shd w:val="clear" w:color="auto" w:fill="auto"/>
        <w:spacing w:line="480" w:lineRule="exact"/>
        <w:ind w:firstLine="500"/>
        <w:rPr>
          <w:rFonts w:ascii="宋体" w:hAnsi="宋体" w:eastAsia="宋体" w:cs="Times New Roman"/>
          <w:color w:val="auto"/>
          <w:sz w:val="21"/>
          <w:szCs w:val="21"/>
        </w:rPr>
      </w:pPr>
      <w:bookmarkStart w:id="26" w:name="bookmark120"/>
      <w:r>
        <w:rPr>
          <w:rFonts w:ascii="宋体" w:hAnsi="宋体" w:eastAsia="宋体" w:cs="宋体"/>
          <w:color w:val="auto"/>
          <w:sz w:val="21"/>
          <w:szCs w:val="21"/>
        </w:rPr>
        <w:t>5.2</w:t>
      </w:r>
      <w:r>
        <w:rPr>
          <w:rFonts w:hint="eastAsia" w:ascii="宋体" w:hAnsi="宋体" w:eastAsia="宋体" w:cs="宋体"/>
          <w:color w:val="auto"/>
          <w:sz w:val="21"/>
          <w:szCs w:val="21"/>
        </w:rPr>
        <w:t>勘察依据</w:t>
      </w:r>
      <w:bookmarkEnd w:id="26"/>
    </w:p>
    <w:p>
      <w:pPr>
        <w:pStyle w:val="60"/>
        <w:shd w:val="clear" w:color="auto" w:fill="auto"/>
        <w:spacing w:before="0" w:after="0" w:line="480" w:lineRule="exact"/>
        <w:ind w:firstLine="500"/>
        <w:jc w:val="both"/>
        <w:rPr>
          <w:rFonts w:ascii="宋体" w:hAnsi="宋体" w:eastAsia="宋体" w:cs="Times New Roman"/>
          <w:color w:val="auto"/>
          <w:sz w:val="21"/>
          <w:szCs w:val="21"/>
        </w:rPr>
      </w:pPr>
      <w:r>
        <w:rPr>
          <w:rFonts w:hint="eastAsia" w:ascii="宋体" w:hAnsi="宋体" w:eastAsia="宋体" w:cs="宋体"/>
          <w:color w:val="auto"/>
          <w:sz w:val="21"/>
          <w:szCs w:val="21"/>
        </w:rPr>
        <w:t>除专用合同条款另有约定外，本工程的勘察依据如下：</w:t>
      </w:r>
    </w:p>
    <w:p>
      <w:pPr>
        <w:pStyle w:val="60"/>
        <w:numPr>
          <w:ilvl w:val="0"/>
          <w:numId w:val="4"/>
        </w:numPr>
        <w:shd w:val="clear" w:color="auto" w:fill="auto"/>
        <w:tabs>
          <w:tab w:val="left" w:pos="1166"/>
        </w:tabs>
        <w:spacing w:before="0" w:after="0" w:line="480" w:lineRule="exact"/>
        <w:ind w:left="640" w:firstLine="0"/>
        <w:jc w:val="left"/>
        <w:rPr>
          <w:rFonts w:ascii="宋体" w:hAnsi="宋体" w:eastAsia="宋体" w:cs="Times New Roman"/>
          <w:color w:val="auto"/>
          <w:sz w:val="21"/>
          <w:szCs w:val="21"/>
        </w:rPr>
      </w:pPr>
      <w:r>
        <w:rPr>
          <w:rFonts w:hint="eastAsia" w:ascii="宋体" w:hAnsi="宋体" w:eastAsia="宋体" w:cs="宋体"/>
          <w:color w:val="auto"/>
          <w:sz w:val="21"/>
          <w:szCs w:val="21"/>
        </w:rPr>
        <w:t>适用的法律、行政法规及部门规章；</w:t>
      </w:r>
    </w:p>
    <w:p>
      <w:pPr>
        <w:pStyle w:val="60"/>
        <w:numPr>
          <w:ilvl w:val="0"/>
          <w:numId w:val="4"/>
        </w:numPr>
        <w:shd w:val="clear" w:color="auto" w:fill="auto"/>
        <w:tabs>
          <w:tab w:val="left" w:pos="1166"/>
        </w:tabs>
        <w:spacing w:before="0" w:after="0" w:line="480" w:lineRule="exact"/>
        <w:ind w:left="640" w:firstLine="0"/>
        <w:jc w:val="left"/>
        <w:rPr>
          <w:rFonts w:ascii="宋体" w:hAnsi="宋体" w:eastAsia="宋体" w:cs="Times New Roman"/>
          <w:color w:val="auto"/>
          <w:sz w:val="21"/>
          <w:szCs w:val="21"/>
        </w:rPr>
      </w:pPr>
      <w:r>
        <w:rPr>
          <w:rFonts w:hint="eastAsia" w:ascii="宋体" w:hAnsi="宋体" w:eastAsia="宋体" w:cs="宋体"/>
          <w:color w:val="auto"/>
          <w:sz w:val="21"/>
          <w:szCs w:val="21"/>
        </w:rPr>
        <w:t>与工程有关的规范、标准、规程；</w:t>
      </w:r>
    </w:p>
    <w:p>
      <w:pPr>
        <w:pStyle w:val="60"/>
        <w:numPr>
          <w:ilvl w:val="0"/>
          <w:numId w:val="4"/>
        </w:numPr>
        <w:shd w:val="clear" w:color="auto" w:fill="auto"/>
        <w:tabs>
          <w:tab w:val="left" w:pos="1169"/>
        </w:tabs>
        <w:spacing w:before="0" w:after="0" w:line="480" w:lineRule="exact"/>
        <w:ind w:firstLine="640"/>
        <w:jc w:val="both"/>
        <w:rPr>
          <w:rFonts w:ascii="宋体" w:hAnsi="宋体" w:eastAsia="宋体" w:cs="Times New Roman"/>
          <w:color w:val="auto"/>
          <w:sz w:val="21"/>
          <w:szCs w:val="21"/>
        </w:rPr>
      </w:pPr>
      <w:r>
        <w:rPr>
          <w:rFonts w:hint="eastAsia" w:ascii="宋体" w:hAnsi="宋体" w:eastAsia="宋体" w:cs="宋体"/>
          <w:color w:val="auto"/>
          <w:sz w:val="21"/>
          <w:szCs w:val="21"/>
        </w:rPr>
        <w:t>工程基础资料及其他文件；</w:t>
      </w:r>
    </w:p>
    <w:p>
      <w:pPr>
        <w:pStyle w:val="60"/>
        <w:numPr>
          <w:ilvl w:val="0"/>
          <w:numId w:val="4"/>
        </w:numPr>
        <w:shd w:val="clear" w:color="auto" w:fill="auto"/>
        <w:tabs>
          <w:tab w:val="left" w:pos="1169"/>
        </w:tabs>
        <w:spacing w:before="0" w:after="0" w:line="480" w:lineRule="exact"/>
        <w:ind w:firstLine="640"/>
        <w:jc w:val="both"/>
        <w:rPr>
          <w:rFonts w:ascii="宋体" w:hAnsi="宋体" w:eastAsia="宋体" w:cs="Times New Roman"/>
          <w:color w:val="auto"/>
          <w:sz w:val="21"/>
          <w:szCs w:val="21"/>
        </w:rPr>
      </w:pPr>
      <w:r>
        <w:rPr>
          <w:rFonts w:hint="eastAsia" w:ascii="宋体" w:hAnsi="宋体" w:eastAsia="宋体" w:cs="宋体"/>
          <w:color w:val="auto"/>
          <w:sz w:val="21"/>
          <w:szCs w:val="21"/>
        </w:rPr>
        <w:t>本勘察服务合同及补充合同；</w:t>
      </w:r>
    </w:p>
    <w:p>
      <w:pPr>
        <w:pStyle w:val="60"/>
        <w:numPr>
          <w:ilvl w:val="0"/>
          <w:numId w:val="4"/>
        </w:numPr>
        <w:shd w:val="clear" w:color="auto" w:fill="auto"/>
        <w:tabs>
          <w:tab w:val="left" w:pos="1169"/>
        </w:tabs>
        <w:spacing w:before="0" w:after="0" w:line="480" w:lineRule="exact"/>
        <w:ind w:firstLine="640"/>
        <w:jc w:val="both"/>
        <w:rPr>
          <w:rFonts w:ascii="宋体" w:hAnsi="宋体" w:eastAsia="宋体" w:cs="Times New Roman"/>
          <w:color w:val="auto"/>
          <w:sz w:val="21"/>
          <w:szCs w:val="21"/>
        </w:rPr>
      </w:pPr>
      <w:r>
        <w:rPr>
          <w:rFonts w:hint="eastAsia" w:ascii="宋体" w:hAnsi="宋体" w:eastAsia="宋体" w:cs="宋体"/>
          <w:color w:val="auto"/>
          <w:sz w:val="21"/>
          <w:szCs w:val="21"/>
        </w:rPr>
        <w:t>本工程施工需求；</w:t>
      </w:r>
    </w:p>
    <w:p>
      <w:pPr>
        <w:pStyle w:val="60"/>
        <w:numPr>
          <w:ilvl w:val="0"/>
          <w:numId w:val="4"/>
        </w:numPr>
        <w:shd w:val="clear" w:color="auto" w:fill="auto"/>
        <w:tabs>
          <w:tab w:val="left" w:pos="1169"/>
        </w:tabs>
        <w:spacing w:before="0" w:after="0" w:line="480" w:lineRule="exact"/>
        <w:ind w:firstLine="640"/>
        <w:jc w:val="both"/>
        <w:rPr>
          <w:rFonts w:ascii="宋体" w:hAnsi="宋体" w:eastAsia="宋体" w:cs="Times New Roman"/>
          <w:color w:val="auto"/>
          <w:sz w:val="21"/>
          <w:szCs w:val="21"/>
        </w:rPr>
      </w:pPr>
      <w:r>
        <w:rPr>
          <w:rFonts w:hint="eastAsia" w:ascii="宋体" w:hAnsi="宋体" w:eastAsia="宋体" w:cs="宋体"/>
          <w:color w:val="auto"/>
          <w:sz w:val="21"/>
          <w:szCs w:val="21"/>
        </w:rPr>
        <w:t>合同履行中与勘察服务有关的来往函件；</w:t>
      </w:r>
    </w:p>
    <w:p>
      <w:pPr>
        <w:pStyle w:val="60"/>
        <w:numPr>
          <w:ilvl w:val="0"/>
          <w:numId w:val="4"/>
        </w:numPr>
        <w:shd w:val="clear" w:color="auto" w:fill="auto"/>
        <w:tabs>
          <w:tab w:val="left" w:pos="1169"/>
        </w:tabs>
        <w:spacing w:before="0" w:after="0" w:line="480" w:lineRule="exact"/>
        <w:ind w:firstLine="640"/>
        <w:jc w:val="both"/>
        <w:rPr>
          <w:rFonts w:ascii="宋体" w:hAnsi="宋体" w:eastAsia="宋体" w:cs="Times New Roman"/>
          <w:color w:val="auto"/>
          <w:sz w:val="21"/>
          <w:szCs w:val="21"/>
        </w:rPr>
      </w:pPr>
      <w:r>
        <w:rPr>
          <w:rFonts w:hint="eastAsia" w:ascii="宋体" w:hAnsi="宋体" w:eastAsia="宋体" w:cs="宋体"/>
          <w:color w:val="auto"/>
          <w:sz w:val="21"/>
          <w:szCs w:val="21"/>
        </w:rPr>
        <w:t>其他勘察依据。</w:t>
      </w:r>
    </w:p>
    <w:p>
      <w:pPr>
        <w:pStyle w:val="69"/>
        <w:shd w:val="clear" w:color="auto" w:fill="auto"/>
        <w:spacing w:before="0" w:line="480" w:lineRule="exact"/>
        <w:ind w:firstLine="500"/>
        <w:jc w:val="both"/>
        <w:rPr>
          <w:rFonts w:ascii="宋体" w:hAnsi="宋体" w:eastAsia="宋体" w:cs="Times New Roman"/>
          <w:color w:val="auto"/>
          <w:sz w:val="21"/>
          <w:szCs w:val="21"/>
        </w:rPr>
      </w:pPr>
      <w:r>
        <w:rPr>
          <w:rFonts w:ascii="宋体" w:hAnsi="宋体" w:eastAsia="宋体" w:cs="宋体"/>
          <w:color w:val="auto"/>
          <w:sz w:val="21"/>
          <w:szCs w:val="21"/>
          <w:lang w:eastAsia="en-US"/>
        </w:rPr>
        <w:t>5.3</w:t>
      </w:r>
      <w:r>
        <w:rPr>
          <w:rFonts w:hint="eastAsia" w:ascii="宋体" w:hAnsi="宋体" w:eastAsia="宋体" w:cs="宋体"/>
          <w:color w:val="auto"/>
          <w:sz w:val="21"/>
          <w:szCs w:val="21"/>
        </w:rPr>
        <w:t>勘察范围</w:t>
      </w:r>
    </w:p>
    <w:p>
      <w:pPr>
        <w:pStyle w:val="60"/>
        <w:shd w:val="clear" w:color="auto" w:fill="auto"/>
        <w:spacing w:before="0" w:after="0" w:line="480" w:lineRule="exact"/>
        <w:ind w:firstLine="500"/>
        <w:jc w:val="both"/>
        <w:rPr>
          <w:rFonts w:ascii="宋体" w:hAnsi="宋体" w:eastAsia="宋体" w:cs="Times New Roman"/>
          <w:color w:val="auto"/>
          <w:sz w:val="21"/>
          <w:szCs w:val="21"/>
        </w:rPr>
      </w:pPr>
      <w:r>
        <w:rPr>
          <w:rFonts w:ascii="宋体" w:hAnsi="宋体" w:eastAsia="宋体" w:cs="宋体"/>
          <w:color w:val="auto"/>
          <w:sz w:val="21"/>
          <w:szCs w:val="21"/>
        </w:rPr>
        <w:t>5.3.1</w:t>
      </w:r>
      <w:r>
        <w:rPr>
          <w:rFonts w:hint="eastAsia" w:ascii="宋体" w:hAnsi="宋体" w:eastAsia="宋体" w:cs="宋体"/>
          <w:color w:val="auto"/>
          <w:sz w:val="21"/>
          <w:szCs w:val="21"/>
        </w:rPr>
        <w:t>本合同的勘察范围包括工程范围、阶段范围和工作范围，具体勘察范围应根据三者之间的关联内容进行确定。</w:t>
      </w:r>
    </w:p>
    <w:p>
      <w:pPr>
        <w:pStyle w:val="60"/>
        <w:shd w:val="clear" w:color="auto" w:fill="auto"/>
        <w:spacing w:before="0" w:after="0" w:line="480" w:lineRule="exact"/>
        <w:ind w:firstLine="500"/>
        <w:jc w:val="both"/>
        <w:rPr>
          <w:rFonts w:ascii="宋体" w:hAnsi="宋体" w:eastAsia="宋体" w:cs="Times New Roman"/>
          <w:color w:val="auto"/>
          <w:sz w:val="21"/>
          <w:szCs w:val="21"/>
        </w:rPr>
      </w:pPr>
      <w:r>
        <w:rPr>
          <w:rFonts w:ascii="宋体" w:hAnsi="宋体" w:eastAsia="宋体" w:cs="宋体"/>
          <w:color w:val="auto"/>
          <w:sz w:val="21"/>
          <w:szCs w:val="21"/>
        </w:rPr>
        <w:t>5.3.2</w:t>
      </w:r>
      <w:r>
        <w:rPr>
          <w:rFonts w:hint="eastAsia" w:ascii="宋体" w:hAnsi="宋体" w:eastAsia="宋体" w:cs="宋体"/>
          <w:color w:val="auto"/>
          <w:sz w:val="21"/>
          <w:szCs w:val="21"/>
        </w:rPr>
        <w:t>工程范围指勘察工程的建设内容，具体范围在专用合同条款中约定。</w:t>
      </w:r>
    </w:p>
    <w:p>
      <w:pPr>
        <w:pStyle w:val="60"/>
        <w:shd w:val="clear" w:color="auto" w:fill="auto"/>
        <w:spacing w:before="0" w:after="0" w:line="480" w:lineRule="exact"/>
        <w:ind w:firstLine="500"/>
        <w:jc w:val="both"/>
        <w:rPr>
          <w:rFonts w:ascii="宋体" w:hAnsi="宋体" w:eastAsia="宋体" w:cs="Times New Roman"/>
          <w:color w:val="auto"/>
          <w:sz w:val="21"/>
          <w:szCs w:val="21"/>
        </w:rPr>
      </w:pPr>
      <w:r>
        <w:rPr>
          <w:rFonts w:ascii="宋体" w:hAnsi="宋体" w:eastAsia="宋体" w:cs="宋体"/>
          <w:color w:val="auto"/>
          <w:sz w:val="21"/>
          <w:szCs w:val="21"/>
        </w:rPr>
        <w:t>5.3.3</w:t>
      </w:r>
      <w:r>
        <w:rPr>
          <w:rFonts w:hint="eastAsia" w:ascii="宋体" w:hAnsi="宋体" w:eastAsia="宋体" w:cs="宋体"/>
          <w:color w:val="auto"/>
          <w:sz w:val="21"/>
          <w:szCs w:val="21"/>
        </w:rPr>
        <w:t>阶段范围指工程建设程序中的可行性研究勘察、初步勘察、详细勘察、施工勘察、等阶段中的一个或多个阶段，具体范围在专用合同条款中约定。</w:t>
      </w:r>
    </w:p>
    <w:p>
      <w:pPr>
        <w:pStyle w:val="60"/>
        <w:shd w:val="clear" w:color="auto" w:fill="auto"/>
        <w:spacing w:before="0" w:after="0" w:line="480" w:lineRule="exact"/>
        <w:ind w:firstLine="500"/>
        <w:jc w:val="both"/>
        <w:rPr>
          <w:rFonts w:ascii="宋体" w:hAnsi="宋体" w:eastAsia="宋体" w:cs="Times New Roman"/>
          <w:color w:val="auto"/>
          <w:sz w:val="21"/>
          <w:szCs w:val="21"/>
        </w:rPr>
      </w:pPr>
      <w:r>
        <w:rPr>
          <w:rFonts w:ascii="宋体" w:hAnsi="宋体" w:eastAsia="宋体" w:cs="宋体"/>
          <w:color w:val="auto"/>
          <w:sz w:val="21"/>
          <w:szCs w:val="21"/>
        </w:rPr>
        <w:t>5.3.4</w:t>
      </w:r>
      <w:r>
        <w:rPr>
          <w:rFonts w:hint="eastAsia" w:ascii="宋体" w:hAnsi="宋体" w:eastAsia="宋体" w:cs="宋体"/>
          <w:color w:val="auto"/>
          <w:sz w:val="21"/>
          <w:szCs w:val="21"/>
        </w:rPr>
        <w:t>工作范围指工程测量、岩土工程勘察、岩土工程设计</w:t>
      </w:r>
      <w:r>
        <w:rPr>
          <w:rFonts w:ascii="宋体" w:hAnsi="宋体" w:eastAsia="宋体" w:cs="宋体"/>
          <w:color w:val="auto"/>
          <w:sz w:val="21"/>
          <w:szCs w:val="21"/>
        </w:rPr>
        <w:t>(</w:t>
      </w:r>
      <w:r>
        <w:rPr>
          <w:rFonts w:hint="eastAsia" w:ascii="宋体" w:hAnsi="宋体" w:eastAsia="宋体" w:cs="宋体"/>
          <w:color w:val="auto"/>
          <w:sz w:val="21"/>
          <w:szCs w:val="21"/>
        </w:rPr>
        <w:t>如有</w:t>
      </w:r>
      <w:r>
        <w:rPr>
          <w:rFonts w:ascii="宋体" w:hAnsi="宋体" w:eastAsia="宋体" w:cs="宋体"/>
          <w:color w:val="auto"/>
          <w:sz w:val="21"/>
          <w:szCs w:val="21"/>
        </w:rPr>
        <w:t>)</w:t>
      </w:r>
      <w:r>
        <w:rPr>
          <w:rFonts w:hint="eastAsia" w:ascii="宋体" w:hAnsi="宋体" w:eastAsia="宋体" w:cs="宋体"/>
          <w:color w:val="auto"/>
          <w:sz w:val="21"/>
          <w:szCs w:val="21"/>
        </w:rPr>
        <w:t>，招标与施工配合、参加交工验收、参加竣工验收和发包人委托的其他服务中的一项或多项工作，具体范围在专用合同条款中约定。</w:t>
      </w:r>
    </w:p>
    <w:p>
      <w:pPr>
        <w:pStyle w:val="69"/>
        <w:shd w:val="clear" w:color="auto" w:fill="auto"/>
        <w:spacing w:before="0" w:line="480" w:lineRule="exact"/>
        <w:ind w:firstLine="500"/>
        <w:jc w:val="both"/>
        <w:rPr>
          <w:rFonts w:ascii="宋体" w:hAnsi="宋体" w:eastAsia="宋体" w:cs="Times New Roman"/>
          <w:color w:val="auto"/>
          <w:sz w:val="21"/>
          <w:szCs w:val="21"/>
        </w:rPr>
      </w:pPr>
      <w:r>
        <w:rPr>
          <w:rFonts w:ascii="宋体" w:hAnsi="宋体" w:eastAsia="宋体" w:cs="宋体"/>
          <w:color w:val="auto"/>
          <w:sz w:val="21"/>
          <w:szCs w:val="21"/>
          <w:lang w:eastAsia="en-US"/>
        </w:rPr>
        <w:t>5.4</w:t>
      </w:r>
      <w:r>
        <w:rPr>
          <w:rFonts w:hint="eastAsia" w:ascii="宋体" w:hAnsi="宋体" w:eastAsia="宋体" w:cs="宋体"/>
          <w:color w:val="auto"/>
          <w:sz w:val="21"/>
          <w:szCs w:val="21"/>
        </w:rPr>
        <w:t>勘察作业要求</w:t>
      </w:r>
    </w:p>
    <w:p>
      <w:pPr>
        <w:pStyle w:val="60"/>
        <w:shd w:val="clear" w:color="auto" w:fill="auto"/>
        <w:spacing w:before="0" w:after="0" w:line="480" w:lineRule="exact"/>
        <w:ind w:firstLine="500"/>
        <w:jc w:val="both"/>
        <w:rPr>
          <w:rFonts w:ascii="宋体" w:hAnsi="宋体" w:eastAsia="宋体" w:cs="Times New Roman"/>
          <w:color w:val="auto"/>
          <w:sz w:val="21"/>
          <w:szCs w:val="21"/>
        </w:rPr>
      </w:pPr>
      <w:r>
        <w:rPr>
          <w:rFonts w:ascii="宋体" w:hAnsi="宋体" w:eastAsia="宋体" w:cs="宋体"/>
          <w:color w:val="auto"/>
          <w:sz w:val="21"/>
          <w:szCs w:val="21"/>
          <w:lang w:eastAsia="en-US"/>
        </w:rPr>
        <w:t>5.4.1</w:t>
      </w:r>
      <w:r>
        <w:rPr>
          <w:rFonts w:hint="eastAsia" w:ascii="宋体" w:hAnsi="宋体" w:eastAsia="宋体" w:cs="宋体"/>
          <w:color w:val="auto"/>
          <w:sz w:val="21"/>
          <w:szCs w:val="21"/>
        </w:rPr>
        <w:t>测绘</w:t>
      </w:r>
    </w:p>
    <w:p>
      <w:pPr>
        <w:pStyle w:val="60"/>
        <w:numPr>
          <w:ilvl w:val="0"/>
          <w:numId w:val="5"/>
        </w:numPr>
        <w:shd w:val="clear" w:color="auto" w:fill="auto"/>
        <w:tabs>
          <w:tab w:val="left" w:pos="1136"/>
        </w:tabs>
        <w:spacing w:before="0" w:after="0" w:line="480" w:lineRule="exact"/>
        <w:ind w:firstLine="640"/>
        <w:jc w:val="both"/>
        <w:rPr>
          <w:rFonts w:ascii="宋体" w:hAnsi="宋体" w:eastAsia="宋体" w:cs="Times New Roman"/>
          <w:color w:val="auto"/>
          <w:sz w:val="21"/>
          <w:szCs w:val="21"/>
        </w:rPr>
      </w:pPr>
      <w:r>
        <w:rPr>
          <w:rFonts w:hint="eastAsia" w:ascii="宋体" w:hAnsi="宋体" w:eastAsia="宋体" w:cs="宋体"/>
          <w:color w:val="auto"/>
          <w:sz w:val="21"/>
          <w:szCs w:val="21"/>
        </w:rPr>
        <w:t>除专用合同条款另有约定外，发包人应在开始勘察前</w:t>
      </w:r>
      <w:r>
        <w:rPr>
          <w:rFonts w:ascii="宋体" w:hAnsi="宋体" w:eastAsia="宋体" w:cs="宋体"/>
          <w:color w:val="auto"/>
          <w:sz w:val="21"/>
          <w:szCs w:val="21"/>
        </w:rPr>
        <w:t>7</w:t>
      </w:r>
      <w:r>
        <w:rPr>
          <w:rFonts w:hint="eastAsia" w:ascii="宋体" w:hAnsi="宋体" w:eastAsia="宋体" w:cs="宋体"/>
          <w:color w:val="auto"/>
          <w:sz w:val="21"/>
          <w:szCs w:val="21"/>
        </w:rPr>
        <w:t>天内，向勘察人提供测量基准点、水准点和书面资料等；勘察人应根据国家测绘基准、测绘系统和工程测量技术规范，按发包人要求的基准点以及合同工程精度要求，进行测绘。</w:t>
      </w:r>
    </w:p>
    <w:p>
      <w:pPr>
        <w:pStyle w:val="60"/>
        <w:numPr>
          <w:ilvl w:val="0"/>
          <w:numId w:val="5"/>
        </w:numPr>
        <w:shd w:val="clear" w:color="auto" w:fill="auto"/>
        <w:tabs>
          <w:tab w:val="left" w:pos="1134"/>
        </w:tabs>
        <w:spacing w:before="0" w:after="0" w:line="480" w:lineRule="exact"/>
        <w:ind w:firstLine="640"/>
        <w:jc w:val="both"/>
        <w:rPr>
          <w:rFonts w:ascii="宋体" w:hAnsi="宋体" w:eastAsia="宋体" w:cs="Times New Roman"/>
          <w:color w:val="auto"/>
          <w:sz w:val="21"/>
          <w:szCs w:val="21"/>
        </w:rPr>
      </w:pPr>
      <w:r>
        <w:rPr>
          <w:rFonts w:hint="eastAsia" w:ascii="宋体" w:hAnsi="宋体" w:eastAsia="宋体" w:cs="宋体"/>
          <w:color w:val="auto"/>
          <w:sz w:val="21"/>
          <w:szCs w:val="21"/>
        </w:rPr>
        <w:t>勘察人测绘之前，应认真核对测绘数据，保证引用数据和原始数据准确无误。测绘工作应由测量人员如实记录，不得补记、涂改或损坏。</w:t>
      </w:r>
    </w:p>
    <w:p>
      <w:pPr>
        <w:pStyle w:val="60"/>
        <w:numPr>
          <w:ilvl w:val="0"/>
          <w:numId w:val="5"/>
        </w:numPr>
        <w:shd w:val="clear" w:color="auto" w:fill="auto"/>
        <w:tabs>
          <w:tab w:val="left" w:pos="1138"/>
        </w:tabs>
        <w:spacing w:before="0" w:after="0" w:line="480" w:lineRule="exact"/>
        <w:ind w:firstLine="640"/>
        <w:jc w:val="both"/>
        <w:rPr>
          <w:rFonts w:ascii="宋体" w:hAnsi="宋体" w:eastAsia="宋体" w:cs="Times New Roman"/>
          <w:color w:val="auto"/>
          <w:sz w:val="21"/>
          <w:szCs w:val="21"/>
        </w:rPr>
      </w:pPr>
      <w:r>
        <w:rPr>
          <w:rFonts w:hint="eastAsia" w:ascii="宋体" w:hAnsi="宋体" w:eastAsia="宋体" w:cs="宋体"/>
          <w:color w:val="auto"/>
          <w:sz w:val="21"/>
          <w:szCs w:val="21"/>
        </w:rPr>
        <w:t>工程勘探之前，勘察人应严格按照勘察方案的孔位坐标，进行测量放线并在实地位置定位，埋设带有编号且不易移动的标志粧进行定位控制。</w:t>
      </w:r>
    </w:p>
    <w:p>
      <w:pPr>
        <w:pStyle w:val="60"/>
        <w:shd w:val="clear" w:color="auto" w:fill="auto"/>
        <w:spacing w:before="0" w:after="0" w:line="480" w:lineRule="exact"/>
        <w:ind w:firstLine="500"/>
        <w:jc w:val="both"/>
        <w:rPr>
          <w:rFonts w:ascii="宋体" w:hAnsi="宋体" w:eastAsia="宋体" w:cs="Times New Roman"/>
          <w:color w:val="auto"/>
          <w:sz w:val="21"/>
          <w:szCs w:val="21"/>
        </w:rPr>
      </w:pPr>
      <w:r>
        <w:rPr>
          <w:rFonts w:ascii="宋体" w:hAnsi="宋体" w:eastAsia="宋体" w:cs="宋体"/>
          <w:color w:val="auto"/>
          <w:sz w:val="21"/>
          <w:szCs w:val="21"/>
          <w:lang w:eastAsia="en-US"/>
        </w:rPr>
        <w:t>5.4.2</w:t>
      </w:r>
      <w:r>
        <w:rPr>
          <w:rFonts w:hint="eastAsia" w:ascii="宋体" w:hAnsi="宋体" w:eastAsia="宋体" w:cs="宋体"/>
          <w:color w:val="auto"/>
          <w:sz w:val="21"/>
          <w:szCs w:val="21"/>
        </w:rPr>
        <w:t>勘探</w:t>
      </w:r>
    </w:p>
    <w:p>
      <w:pPr>
        <w:pStyle w:val="60"/>
        <w:numPr>
          <w:ilvl w:val="0"/>
          <w:numId w:val="6"/>
        </w:numPr>
        <w:shd w:val="clear" w:color="auto" w:fill="auto"/>
        <w:spacing w:before="0" w:after="0" w:line="480" w:lineRule="exact"/>
        <w:ind w:firstLine="640"/>
        <w:jc w:val="both"/>
        <w:rPr>
          <w:rFonts w:ascii="宋体" w:hAnsi="宋体" w:eastAsia="宋体" w:cs="Times New Roman"/>
          <w:color w:val="auto"/>
          <w:sz w:val="21"/>
          <w:szCs w:val="21"/>
        </w:rPr>
      </w:pPr>
      <w:r>
        <w:rPr>
          <w:rFonts w:hint="eastAsia" w:ascii="宋体" w:hAnsi="宋体" w:eastAsia="宋体" w:cs="宋体"/>
          <w:color w:val="auto"/>
          <w:sz w:val="21"/>
          <w:szCs w:val="21"/>
        </w:rPr>
        <w:t>勘察人应根据公路基本建设程序各阶段要求的深度开展工作，结合现场地形地质条件、工程结构设置以及不同勘察手段的特性等，统筹考虑、综合确定勘察方法及勘察工作量，为完成合同约定的勘察任务创造条件。勘察人对于勘察方法的正确性、适用性和可靠性完全负责。</w:t>
      </w:r>
    </w:p>
    <w:p>
      <w:pPr>
        <w:pStyle w:val="60"/>
        <w:numPr>
          <w:ilvl w:val="0"/>
          <w:numId w:val="6"/>
        </w:numPr>
        <w:shd w:val="clear" w:color="auto" w:fill="auto"/>
        <w:tabs>
          <w:tab w:val="left" w:pos="1094"/>
        </w:tabs>
        <w:spacing w:before="0" w:after="0" w:line="480" w:lineRule="exact"/>
        <w:ind w:firstLine="640"/>
        <w:jc w:val="both"/>
        <w:rPr>
          <w:rFonts w:ascii="宋体" w:hAnsi="宋体" w:eastAsia="宋体" w:cs="Times New Roman"/>
          <w:color w:val="auto"/>
          <w:sz w:val="21"/>
          <w:szCs w:val="21"/>
        </w:rPr>
      </w:pPr>
      <w:r>
        <w:rPr>
          <w:rFonts w:hint="eastAsia" w:ascii="宋体" w:hAnsi="宋体" w:eastAsia="宋体" w:cs="宋体"/>
          <w:color w:val="auto"/>
          <w:sz w:val="21"/>
          <w:szCs w:val="21"/>
        </w:rPr>
        <w:t>勘察人布置勘探工作时，应充分考虑勘探方法对于自然环境、周边设施、建构筑物、地下管线、架空线和其他物体的影响，釆用切实有效的措施进行防范控制，不得造成损坏或中断运行，否则由此导致的费用增加和</w:t>
      </w:r>
      <w:r>
        <w:rPr>
          <w:rFonts w:ascii="宋体" w:hAnsi="宋体" w:eastAsia="宋体" w:cs="宋体"/>
          <w:color w:val="auto"/>
          <w:sz w:val="21"/>
          <w:szCs w:val="21"/>
        </w:rPr>
        <w:t>(</w:t>
      </w:r>
      <w:r>
        <w:rPr>
          <w:rFonts w:hint="eastAsia" w:ascii="宋体" w:hAnsi="宋体" w:eastAsia="宋体" w:cs="宋体"/>
          <w:color w:val="auto"/>
          <w:sz w:val="21"/>
          <w:szCs w:val="21"/>
        </w:rPr>
        <w:t>或</w:t>
      </w:r>
      <w:r>
        <w:rPr>
          <w:rFonts w:ascii="宋体" w:hAnsi="宋体" w:eastAsia="宋体" w:cs="宋体"/>
          <w:color w:val="auto"/>
          <w:sz w:val="21"/>
          <w:szCs w:val="21"/>
        </w:rPr>
        <w:t>)</w:t>
      </w:r>
      <w:r>
        <w:rPr>
          <w:rFonts w:hint="eastAsia" w:ascii="宋体" w:hAnsi="宋体" w:eastAsia="宋体" w:cs="宋体"/>
          <w:color w:val="auto"/>
          <w:sz w:val="21"/>
          <w:szCs w:val="21"/>
        </w:rPr>
        <w:t>周期延误由勘察人自行承担。</w:t>
      </w:r>
    </w:p>
    <w:p>
      <w:pPr>
        <w:pStyle w:val="60"/>
        <w:numPr>
          <w:ilvl w:val="0"/>
          <w:numId w:val="6"/>
        </w:numPr>
        <w:shd w:val="clear" w:color="auto" w:fill="auto"/>
        <w:tabs>
          <w:tab w:val="left" w:pos="1096"/>
        </w:tabs>
        <w:spacing w:before="0" w:after="0" w:line="480" w:lineRule="exact"/>
        <w:ind w:firstLine="640"/>
        <w:jc w:val="both"/>
        <w:rPr>
          <w:rFonts w:ascii="宋体" w:hAnsi="宋体" w:eastAsia="宋体" w:cs="Times New Roman"/>
          <w:color w:val="auto"/>
          <w:sz w:val="21"/>
          <w:szCs w:val="21"/>
        </w:rPr>
      </w:pPr>
      <w:r>
        <w:rPr>
          <w:rFonts w:hint="eastAsia" w:ascii="宋体" w:hAnsi="宋体" w:eastAsia="宋体" w:cs="宋体"/>
          <w:color w:val="auto"/>
          <w:sz w:val="21"/>
          <w:szCs w:val="21"/>
        </w:rPr>
        <w:t>勘察人应在标定的孔位处进行勘探，不得随意改动位置。勘探方法、勘探机具、勘探记录、取样编录与描述，孔位标记、孔位封闭等事项，应严格执行规范标准，按实填写勘探报表和勘探日志。</w:t>
      </w:r>
    </w:p>
    <w:p>
      <w:pPr>
        <w:pStyle w:val="60"/>
        <w:numPr>
          <w:ilvl w:val="0"/>
          <w:numId w:val="6"/>
        </w:numPr>
        <w:shd w:val="clear" w:color="auto" w:fill="auto"/>
        <w:tabs>
          <w:tab w:val="left" w:pos="1099"/>
        </w:tabs>
        <w:spacing w:before="0" w:after="0" w:line="480" w:lineRule="exact"/>
        <w:ind w:firstLine="640"/>
        <w:jc w:val="both"/>
        <w:rPr>
          <w:rFonts w:ascii="宋体" w:hAnsi="宋体" w:eastAsia="宋体" w:cs="Times New Roman"/>
          <w:color w:val="auto"/>
          <w:sz w:val="21"/>
          <w:szCs w:val="21"/>
        </w:rPr>
      </w:pPr>
      <w:r>
        <w:rPr>
          <w:rFonts w:hint="eastAsia" w:ascii="宋体" w:hAnsi="宋体" w:eastAsia="宋体" w:cs="宋体"/>
          <w:color w:val="auto"/>
          <w:sz w:val="21"/>
          <w:szCs w:val="21"/>
        </w:rPr>
        <w:t>勘探工作完成后，勘察人应按照规范要求及时封孔，并将封孔记录整理存档，勘探场地应地面平整、清洁卫生，并通知发包人、行政主管部门及使用维护单位进行现场验收。验收通过之后如果发生沉陷，勘察人应及时进行二次封孔和现场验收。</w:t>
      </w:r>
    </w:p>
    <w:p>
      <w:pPr>
        <w:pStyle w:val="60"/>
        <w:shd w:val="clear" w:color="auto" w:fill="auto"/>
        <w:spacing w:before="0" w:after="0" w:line="480" w:lineRule="exact"/>
        <w:ind w:left="520" w:firstLine="0"/>
        <w:jc w:val="left"/>
        <w:rPr>
          <w:rFonts w:ascii="宋体" w:hAnsi="宋体" w:eastAsia="宋体" w:cs="Times New Roman"/>
          <w:color w:val="auto"/>
          <w:sz w:val="21"/>
          <w:szCs w:val="21"/>
        </w:rPr>
      </w:pPr>
      <w:r>
        <w:rPr>
          <w:rFonts w:ascii="宋体" w:hAnsi="宋体" w:eastAsia="宋体" w:cs="宋体"/>
          <w:color w:val="auto"/>
          <w:sz w:val="21"/>
          <w:szCs w:val="21"/>
          <w:lang w:eastAsia="en-US"/>
        </w:rPr>
        <w:t>5.4.3</w:t>
      </w:r>
      <w:r>
        <w:rPr>
          <w:rFonts w:hint="eastAsia" w:ascii="宋体" w:hAnsi="宋体" w:eastAsia="宋体" w:cs="宋体"/>
          <w:color w:val="auto"/>
          <w:sz w:val="21"/>
          <w:szCs w:val="21"/>
        </w:rPr>
        <w:t>取样</w:t>
      </w:r>
    </w:p>
    <w:p>
      <w:pPr>
        <w:pStyle w:val="60"/>
        <w:numPr>
          <w:ilvl w:val="0"/>
          <w:numId w:val="7"/>
        </w:numPr>
        <w:shd w:val="clear" w:color="auto" w:fill="auto"/>
        <w:tabs>
          <w:tab w:val="left" w:pos="1099"/>
        </w:tabs>
        <w:spacing w:before="0" w:after="0" w:line="480" w:lineRule="exact"/>
        <w:ind w:firstLine="640"/>
        <w:jc w:val="both"/>
        <w:rPr>
          <w:rFonts w:ascii="宋体" w:hAnsi="宋体" w:eastAsia="宋体" w:cs="Times New Roman"/>
          <w:color w:val="auto"/>
          <w:sz w:val="21"/>
          <w:szCs w:val="21"/>
        </w:rPr>
      </w:pPr>
      <w:r>
        <w:rPr>
          <w:rFonts w:hint="eastAsia" w:ascii="宋体" w:hAnsi="宋体" w:eastAsia="宋体" w:cs="宋体"/>
          <w:color w:val="auto"/>
          <w:sz w:val="21"/>
          <w:szCs w:val="21"/>
        </w:rPr>
        <w:t>勘察人应针对不同的岩土地质，按照勘探取样规范规程中的相关规定，根据地层特征、取样深度、设备条件和试验项目的不同，合理选用取样方法和取样工具进行取样，包括并不限于土样、水样、岩芯等。</w:t>
      </w:r>
    </w:p>
    <w:p>
      <w:pPr>
        <w:pStyle w:val="60"/>
        <w:numPr>
          <w:ilvl w:val="0"/>
          <w:numId w:val="7"/>
        </w:numPr>
        <w:shd w:val="clear" w:color="auto" w:fill="auto"/>
        <w:tabs>
          <w:tab w:val="left" w:pos="1099"/>
        </w:tabs>
        <w:spacing w:before="0" w:after="0" w:line="480" w:lineRule="exact"/>
        <w:ind w:firstLine="640"/>
        <w:jc w:val="both"/>
        <w:rPr>
          <w:rFonts w:ascii="宋体" w:hAnsi="宋体" w:eastAsia="宋体" w:cs="Times New Roman"/>
          <w:color w:val="auto"/>
          <w:sz w:val="21"/>
          <w:szCs w:val="21"/>
        </w:rPr>
      </w:pPr>
      <w:r>
        <w:rPr>
          <w:rFonts w:hint="eastAsia" w:ascii="宋体" w:hAnsi="宋体" w:eastAsia="宋体" w:cs="宋体"/>
          <w:color w:val="auto"/>
          <w:sz w:val="21"/>
          <w:szCs w:val="21"/>
        </w:rPr>
        <w:t>取样后的样品应根据其类别、性质和特点等进行封装、贮存和运输。样品搬运之前，宜用数码相机进行现场拍照；运输途中应采用柔软材料充填、尽量避免震动和阳光曝晒；装卸之时尽量轻拿轻放，以免样品损坏。</w:t>
      </w:r>
    </w:p>
    <w:p>
      <w:pPr>
        <w:pStyle w:val="60"/>
        <w:numPr>
          <w:ilvl w:val="0"/>
          <w:numId w:val="7"/>
        </w:numPr>
        <w:shd w:val="clear" w:color="auto" w:fill="auto"/>
        <w:tabs>
          <w:tab w:val="left" w:pos="1099"/>
        </w:tabs>
        <w:spacing w:before="0" w:after="0" w:line="480" w:lineRule="exact"/>
        <w:ind w:firstLine="640"/>
        <w:jc w:val="left"/>
        <w:rPr>
          <w:rFonts w:ascii="宋体" w:hAnsi="宋体" w:eastAsia="宋体" w:cs="Times New Roman"/>
          <w:color w:val="auto"/>
          <w:sz w:val="21"/>
          <w:szCs w:val="21"/>
        </w:rPr>
      </w:pPr>
      <w:r>
        <w:rPr>
          <w:rFonts w:hint="eastAsia" w:ascii="宋体" w:hAnsi="宋体" w:eastAsia="宋体" w:cs="宋体"/>
          <w:color w:val="auto"/>
          <w:sz w:val="21"/>
          <w:szCs w:val="21"/>
        </w:rPr>
        <w:t>取样后的样品应填写和粘贴标签，标签内容包括并不限于工程名称、孔号、样品编号、取样深度、样品名称、取样日期、取样人姓名、施工机组等。</w:t>
      </w:r>
    </w:p>
    <w:p>
      <w:pPr>
        <w:pStyle w:val="60"/>
        <w:shd w:val="clear" w:color="auto" w:fill="auto"/>
        <w:spacing w:before="0" w:after="0" w:line="480" w:lineRule="exact"/>
        <w:ind w:left="520" w:firstLine="0"/>
        <w:jc w:val="left"/>
        <w:rPr>
          <w:rFonts w:ascii="宋体" w:hAnsi="宋体" w:eastAsia="宋体" w:cs="Times New Roman"/>
          <w:color w:val="auto"/>
          <w:sz w:val="21"/>
          <w:szCs w:val="21"/>
        </w:rPr>
      </w:pPr>
      <w:r>
        <w:rPr>
          <w:rFonts w:ascii="宋体" w:hAnsi="宋体" w:eastAsia="宋体" w:cs="宋体"/>
          <w:color w:val="auto"/>
          <w:sz w:val="21"/>
          <w:szCs w:val="21"/>
          <w:lang w:eastAsia="en-US"/>
        </w:rPr>
        <w:t>5.4.4</w:t>
      </w:r>
      <w:r>
        <w:rPr>
          <w:rFonts w:hint="eastAsia" w:ascii="宋体" w:hAnsi="宋体" w:eastAsia="宋体" w:cs="宋体"/>
          <w:color w:val="auto"/>
          <w:sz w:val="21"/>
          <w:szCs w:val="21"/>
        </w:rPr>
        <w:t>试验</w:t>
      </w:r>
    </w:p>
    <w:p>
      <w:pPr>
        <w:pStyle w:val="60"/>
        <w:numPr>
          <w:ilvl w:val="0"/>
          <w:numId w:val="8"/>
        </w:numPr>
        <w:shd w:val="clear" w:color="auto" w:fill="auto"/>
        <w:tabs>
          <w:tab w:val="left" w:pos="1080"/>
        </w:tabs>
        <w:spacing w:before="0" w:after="0" w:line="480" w:lineRule="exact"/>
        <w:ind w:firstLine="640"/>
        <w:jc w:val="both"/>
        <w:rPr>
          <w:rFonts w:ascii="宋体" w:hAnsi="宋体" w:eastAsia="宋体" w:cs="Times New Roman"/>
          <w:color w:val="auto"/>
          <w:sz w:val="21"/>
          <w:szCs w:val="21"/>
        </w:rPr>
      </w:pPr>
      <w:r>
        <w:rPr>
          <w:rFonts w:hint="eastAsia" w:ascii="宋体" w:hAnsi="宋体" w:eastAsia="宋体" w:cs="宋体"/>
          <w:color w:val="auto"/>
          <w:sz w:val="21"/>
          <w:szCs w:val="21"/>
        </w:rPr>
        <w:t>勘察人应根据岩土条件、设计要求、勘察经验和测试方法特点，选用合适的原位测试方法和勘察设备进行原位测试。原位测试成果应与室内试验数据进行对比分析，检验其可靠性。</w:t>
      </w:r>
    </w:p>
    <w:p>
      <w:pPr>
        <w:pStyle w:val="60"/>
        <w:numPr>
          <w:ilvl w:val="0"/>
          <w:numId w:val="8"/>
        </w:numPr>
        <w:shd w:val="clear" w:color="auto" w:fill="auto"/>
        <w:tabs>
          <w:tab w:val="left" w:pos="1089"/>
        </w:tabs>
        <w:spacing w:before="0" w:after="0" w:line="480" w:lineRule="exact"/>
        <w:ind w:firstLine="640"/>
        <w:jc w:val="both"/>
        <w:rPr>
          <w:rFonts w:ascii="宋体" w:hAnsi="宋体" w:eastAsia="宋体" w:cs="Times New Roman"/>
          <w:color w:val="auto"/>
          <w:sz w:val="21"/>
          <w:szCs w:val="21"/>
        </w:rPr>
      </w:pPr>
      <w:r>
        <w:rPr>
          <w:rFonts w:hint="eastAsia" w:ascii="宋体" w:hAnsi="宋体" w:eastAsia="宋体" w:cs="宋体"/>
          <w:color w:val="auto"/>
          <w:sz w:val="21"/>
          <w:szCs w:val="21"/>
        </w:rPr>
        <w:t>勘察人的试验室应通过行业管理部门认可的</w:t>
      </w:r>
      <w:r>
        <w:rPr>
          <w:rStyle w:val="67"/>
          <w:rFonts w:ascii="宋体" w:hAnsi="宋体" w:eastAsia="宋体" w:cs="宋体"/>
          <w:color w:val="auto"/>
          <w:sz w:val="21"/>
          <w:szCs w:val="21"/>
          <w:lang w:eastAsia="zh-CN"/>
        </w:rPr>
        <w:t>CMA</w:t>
      </w:r>
      <w:r>
        <w:rPr>
          <w:rFonts w:hint="eastAsia" w:ascii="宋体" w:hAnsi="宋体" w:eastAsia="宋体" w:cs="宋体"/>
          <w:color w:val="auto"/>
          <w:sz w:val="21"/>
          <w:szCs w:val="21"/>
        </w:rPr>
        <w:t>计量认证，具有相应的资格证书、试验人员和试验条件，否则应委托第三方试验室进行室内试验。</w:t>
      </w:r>
    </w:p>
    <w:p>
      <w:pPr>
        <w:pStyle w:val="60"/>
        <w:numPr>
          <w:ilvl w:val="0"/>
          <w:numId w:val="8"/>
        </w:numPr>
        <w:shd w:val="clear" w:color="auto" w:fill="auto"/>
        <w:tabs>
          <w:tab w:val="left" w:pos="1126"/>
        </w:tabs>
        <w:spacing w:before="0" w:after="0" w:line="480" w:lineRule="exact"/>
        <w:ind w:firstLine="640"/>
        <w:jc w:val="left"/>
        <w:rPr>
          <w:rFonts w:ascii="宋体" w:hAnsi="宋体" w:eastAsia="宋体" w:cs="Times New Roman"/>
          <w:color w:val="auto"/>
          <w:sz w:val="21"/>
          <w:szCs w:val="21"/>
        </w:rPr>
      </w:pPr>
      <w:r>
        <w:rPr>
          <w:rFonts w:hint="eastAsia" w:ascii="宋体" w:hAnsi="宋体" w:eastAsia="宋体" w:cs="宋体"/>
          <w:color w:val="auto"/>
          <w:sz w:val="21"/>
          <w:szCs w:val="21"/>
        </w:rPr>
        <w:t>勘察人应在试验之前按照要求清点样品数目，认定取样质量及数量是否满足试验需要；勘察设备应检定合格，性能参数满足试验要求，严格按照规范标准的相应规定进行试验操作；试验之后应在有效期内保留备样，以备复核试验成果之用，并按规范标准规定处理余土和废液，符合环境保护、健康卫生等要求。</w:t>
      </w:r>
    </w:p>
    <w:p>
      <w:pPr>
        <w:pStyle w:val="60"/>
        <w:numPr>
          <w:ilvl w:val="0"/>
          <w:numId w:val="8"/>
        </w:numPr>
        <w:shd w:val="clear" w:color="auto" w:fill="auto"/>
        <w:tabs>
          <w:tab w:val="left" w:pos="1119"/>
        </w:tabs>
        <w:spacing w:before="0" w:after="0" w:line="480" w:lineRule="exact"/>
        <w:ind w:firstLine="640"/>
        <w:jc w:val="left"/>
        <w:rPr>
          <w:rFonts w:ascii="宋体" w:hAnsi="宋体" w:eastAsia="宋体" w:cs="Times New Roman"/>
          <w:color w:val="auto"/>
          <w:sz w:val="21"/>
          <w:szCs w:val="21"/>
        </w:rPr>
      </w:pPr>
      <w:r>
        <w:rPr>
          <w:rFonts w:hint="eastAsia" w:ascii="宋体" w:hAnsi="宋体" w:eastAsia="宋体" w:cs="宋体"/>
          <w:color w:val="auto"/>
          <w:sz w:val="21"/>
          <w:szCs w:val="21"/>
        </w:rPr>
        <w:t>试验报告的格式应符合</w:t>
      </w:r>
      <w:r>
        <w:rPr>
          <w:rStyle w:val="67"/>
          <w:rFonts w:ascii="宋体" w:hAnsi="宋体" w:eastAsia="宋体" w:cs="宋体"/>
          <w:color w:val="auto"/>
          <w:sz w:val="21"/>
          <w:szCs w:val="21"/>
          <w:lang w:eastAsia="zh-CN"/>
        </w:rPr>
        <w:t>CMA</w:t>
      </w:r>
      <w:r>
        <w:rPr>
          <w:rFonts w:hint="eastAsia" w:ascii="宋体" w:hAnsi="宋体" w:eastAsia="宋体" w:cs="宋体"/>
          <w:color w:val="auto"/>
          <w:sz w:val="21"/>
          <w:szCs w:val="21"/>
        </w:rPr>
        <w:t>计量认证体系要求，加盖</w:t>
      </w:r>
      <w:r>
        <w:rPr>
          <w:rStyle w:val="67"/>
          <w:rFonts w:ascii="宋体" w:hAnsi="宋体" w:eastAsia="宋体" w:cs="宋体"/>
          <w:color w:val="auto"/>
          <w:sz w:val="21"/>
          <w:szCs w:val="21"/>
          <w:lang w:eastAsia="zh-CN"/>
        </w:rPr>
        <w:t>CMA</w:t>
      </w:r>
      <w:r>
        <w:rPr>
          <w:rFonts w:hint="eastAsia" w:ascii="宋体" w:hAnsi="宋体" w:eastAsia="宋体" w:cs="宋体"/>
          <w:color w:val="auto"/>
          <w:sz w:val="21"/>
          <w:szCs w:val="21"/>
        </w:rPr>
        <w:t>章并由试验负责人签字确认；试验负责人应通过计量认证考核，并由项目负责人授权许可。</w:t>
      </w:r>
    </w:p>
    <w:p>
      <w:pPr>
        <w:pStyle w:val="60"/>
        <w:shd w:val="clear" w:color="auto" w:fill="auto"/>
        <w:spacing w:before="0" w:after="0" w:line="480"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lang w:eastAsia="en-US"/>
        </w:rPr>
        <w:t>5.4.5</w:t>
      </w:r>
      <w:r>
        <w:rPr>
          <w:rFonts w:hint="eastAsia" w:ascii="宋体" w:hAnsi="宋体" w:eastAsia="宋体" w:cs="宋体"/>
          <w:color w:val="auto"/>
          <w:sz w:val="21"/>
          <w:szCs w:val="21"/>
        </w:rPr>
        <w:t>其他要求</w:t>
      </w:r>
    </w:p>
    <w:p>
      <w:pPr>
        <w:pStyle w:val="60"/>
        <w:numPr>
          <w:ilvl w:val="0"/>
          <w:numId w:val="9"/>
        </w:numPr>
        <w:shd w:val="clear" w:color="auto" w:fill="auto"/>
        <w:tabs>
          <w:tab w:val="left" w:pos="1121"/>
        </w:tabs>
        <w:spacing w:before="0" w:after="0" w:line="480" w:lineRule="exact"/>
        <w:ind w:firstLine="640"/>
        <w:jc w:val="left"/>
        <w:rPr>
          <w:rFonts w:ascii="宋体" w:hAnsi="宋体" w:eastAsia="宋体" w:cs="Times New Roman"/>
          <w:color w:val="auto"/>
          <w:sz w:val="21"/>
          <w:szCs w:val="21"/>
        </w:rPr>
      </w:pPr>
      <w:r>
        <w:rPr>
          <w:rFonts w:hint="eastAsia" w:ascii="宋体" w:hAnsi="宋体" w:eastAsia="宋体" w:cs="宋体"/>
          <w:color w:val="auto"/>
          <w:sz w:val="21"/>
          <w:szCs w:val="21"/>
        </w:rPr>
        <w:t>勘察人应在勘察过程中重视地质环境对安全的影响，提交的勘察报告应真实、准确、可靠，满足工程安全生产的需要，并对勘察结论负责。</w:t>
      </w:r>
    </w:p>
    <w:p>
      <w:pPr>
        <w:pStyle w:val="60"/>
        <w:numPr>
          <w:ilvl w:val="0"/>
          <w:numId w:val="9"/>
        </w:numPr>
        <w:shd w:val="clear" w:color="auto" w:fill="auto"/>
        <w:tabs>
          <w:tab w:val="left" w:pos="1161"/>
        </w:tabs>
        <w:spacing w:before="0" w:after="0" w:line="480" w:lineRule="exact"/>
        <w:ind w:firstLine="640"/>
        <w:jc w:val="left"/>
        <w:rPr>
          <w:rFonts w:ascii="宋体" w:hAnsi="宋体" w:eastAsia="宋体" w:cs="Times New Roman"/>
          <w:color w:val="auto"/>
          <w:sz w:val="21"/>
          <w:szCs w:val="21"/>
        </w:rPr>
      </w:pPr>
      <w:r>
        <w:rPr>
          <w:rFonts w:hint="eastAsia" w:ascii="宋体" w:hAnsi="宋体" w:eastAsia="宋体" w:cs="宋体"/>
          <w:color w:val="auto"/>
          <w:sz w:val="21"/>
          <w:szCs w:val="21"/>
        </w:rPr>
        <w:t>勘察人应对有可能引发公路工程安全隐患的地质灾害提出防治建议。</w:t>
      </w:r>
    </w:p>
    <w:p>
      <w:pPr>
        <w:pStyle w:val="60"/>
        <w:numPr>
          <w:ilvl w:val="0"/>
          <w:numId w:val="9"/>
        </w:numPr>
        <w:shd w:val="clear" w:color="auto" w:fill="auto"/>
        <w:tabs>
          <w:tab w:val="left" w:pos="1128"/>
        </w:tabs>
        <w:spacing w:before="0" w:after="0" w:line="480" w:lineRule="exact"/>
        <w:ind w:firstLine="640"/>
        <w:jc w:val="left"/>
        <w:rPr>
          <w:rFonts w:ascii="宋体" w:hAnsi="宋体" w:eastAsia="宋体" w:cs="Times New Roman"/>
          <w:color w:val="auto"/>
          <w:sz w:val="21"/>
          <w:szCs w:val="21"/>
        </w:rPr>
      </w:pPr>
      <w:r>
        <w:rPr>
          <w:rFonts w:hint="eastAsia" w:ascii="宋体" w:hAnsi="宋体" w:eastAsia="宋体" w:cs="宋体"/>
          <w:color w:val="auto"/>
          <w:sz w:val="21"/>
          <w:szCs w:val="21"/>
        </w:rPr>
        <w:t>工程勘察布点应参考发包人提供的资料。勘探点的数量、深度和位置可根据地质情况和现场条件依据规范进行调整，但应经发包人同意和批准。</w:t>
      </w:r>
    </w:p>
    <w:p>
      <w:pPr>
        <w:pStyle w:val="60"/>
        <w:numPr>
          <w:ilvl w:val="0"/>
          <w:numId w:val="9"/>
        </w:numPr>
        <w:shd w:val="clear" w:color="auto" w:fill="auto"/>
        <w:tabs>
          <w:tab w:val="left" w:pos="1128"/>
        </w:tabs>
        <w:spacing w:before="0" w:after="0" w:line="480" w:lineRule="exact"/>
        <w:ind w:firstLine="640"/>
        <w:jc w:val="left"/>
        <w:rPr>
          <w:rFonts w:ascii="宋体" w:hAnsi="宋体" w:eastAsia="宋体" w:cs="Times New Roman"/>
          <w:color w:val="auto"/>
          <w:sz w:val="21"/>
          <w:szCs w:val="21"/>
        </w:rPr>
      </w:pPr>
      <w:r>
        <w:rPr>
          <w:rFonts w:hint="eastAsia" w:ascii="宋体" w:hAnsi="宋体" w:eastAsia="宋体" w:cs="宋体"/>
          <w:color w:val="auto"/>
          <w:sz w:val="21"/>
          <w:szCs w:val="21"/>
        </w:rPr>
        <w:t>勘探过程中应认真记录每日工作内容，保存原始记录资料与数据，以供发包人检查和分析。</w:t>
      </w:r>
    </w:p>
    <w:p>
      <w:pPr>
        <w:pStyle w:val="60"/>
        <w:numPr>
          <w:ilvl w:val="0"/>
          <w:numId w:val="9"/>
        </w:numPr>
        <w:shd w:val="clear" w:color="auto" w:fill="auto"/>
        <w:tabs>
          <w:tab w:val="left" w:pos="1128"/>
        </w:tabs>
        <w:spacing w:before="0" w:after="0" w:line="480" w:lineRule="exact"/>
        <w:ind w:firstLine="640"/>
        <w:jc w:val="left"/>
        <w:rPr>
          <w:rFonts w:ascii="宋体" w:hAnsi="宋体" w:eastAsia="宋体" w:cs="Times New Roman"/>
          <w:color w:val="auto"/>
          <w:sz w:val="21"/>
          <w:szCs w:val="21"/>
        </w:rPr>
      </w:pPr>
      <w:r>
        <w:rPr>
          <w:rFonts w:hint="eastAsia" w:ascii="宋体" w:hAnsi="宋体" w:eastAsia="宋体" w:cs="宋体"/>
          <w:color w:val="auto"/>
          <w:sz w:val="21"/>
          <w:szCs w:val="21"/>
        </w:rPr>
        <w:t>在钻探进行中，如发包人根据规范需要更改取样间距与现场试验的要求，或更改钻孔深度，勘察人应积极配合并安排实施。</w:t>
      </w:r>
    </w:p>
    <w:p>
      <w:pPr>
        <w:pStyle w:val="60"/>
        <w:numPr>
          <w:ilvl w:val="0"/>
          <w:numId w:val="9"/>
        </w:numPr>
        <w:shd w:val="clear" w:color="auto" w:fill="auto"/>
        <w:tabs>
          <w:tab w:val="left" w:pos="1121"/>
        </w:tabs>
        <w:spacing w:before="0" w:after="0" w:line="480" w:lineRule="exact"/>
        <w:ind w:firstLine="640"/>
        <w:jc w:val="both"/>
        <w:rPr>
          <w:rFonts w:ascii="宋体" w:hAnsi="宋体" w:eastAsia="宋体" w:cs="Times New Roman"/>
          <w:color w:val="auto"/>
          <w:sz w:val="21"/>
          <w:szCs w:val="21"/>
        </w:rPr>
      </w:pPr>
      <w:r>
        <w:rPr>
          <w:rFonts w:hint="eastAsia" w:ascii="宋体" w:hAnsi="宋体" w:eastAsia="宋体" w:cs="宋体"/>
          <w:color w:val="auto"/>
          <w:sz w:val="21"/>
          <w:szCs w:val="21"/>
        </w:rPr>
        <w:t>勘察人在钻探过程中应对地下管线和构筑物进行相应保护，遇到地下文物时应及时向发包人和文物保护部门汇报并妥善保护。勘察人在钻探过程中应采取有效的环境保护措施，避免对周围环境造成破坏或污染。</w:t>
      </w:r>
    </w:p>
    <w:p>
      <w:pPr>
        <w:pStyle w:val="60"/>
        <w:numPr>
          <w:ilvl w:val="0"/>
          <w:numId w:val="9"/>
        </w:numPr>
        <w:shd w:val="clear" w:color="auto" w:fill="auto"/>
        <w:tabs>
          <w:tab w:val="left" w:pos="1128"/>
        </w:tabs>
        <w:spacing w:before="0" w:after="0" w:line="480" w:lineRule="exact"/>
        <w:ind w:firstLine="640"/>
        <w:jc w:val="both"/>
        <w:rPr>
          <w:rFonts w:ascii="宋体" w:hAnsi="宋体" w:eastAsia="宋体" w:cs="Times New Roman"/>
          <w:color w:val="auto"/>
          <w:sz w:val="21"/>
          <w:szCs w:val="21"/>
        </w:rPr>
      </w:pPr>
      <w:r>
        <w:rPr>
          <w:rFonts w:hint="eastAsia" w:ascii="宋体" w:hAnsi="宋体" w:eastAsia="宋体" w:cs="宋体"/>
          <w:color w:val="auto"/>
          <w:sz w:val="21"/>
          <w:szCs w:val="21"/>
        </w:rPr>
        <w:t>勘察人在进行外业勘察时，应采取有效措施避免对原有道路、桥梁、构造物及其它公共设施或地上附着物造成损坏或损伤。如造成损坏或损伤而引起的一切索赔、赔偿、诉讼费用和其他费用，由勘察人自行承担。</w:t>
      </w:r>
    </w:p>
    <w:p>
      <w:pPr>
        <w:pStyle w:val="69"/>
        <w:shd w:val="clear" w:color="auto" w:fill="auto"/>
        <w:spacing w:before="0" w:line="480"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5.5</w:t>
      </w:r>
      <w:r>
        <w:rPr>
          <w:rFonts w:hint="eastAsia" w:ascii="宋体" w:hAnsi="宋体" w:eastAsia="宋体" w:cs="宋体"/>
          <w:color w:val="auto"/>
          <w:sz w:val="21"/>
          <w:szCs w:val="21"/>
        </w:rPr>
        <w:t>勘察设备要求</w:t>
      </w:r>
    </w:p>
    <w:p>
      <w:pPr>
        <w:pStyle w:val="60"/>
        <w:shd w:val="clear" w:color="auto" w:fill="auto"/>
        <w:spacing w:before="0" w:after="0" w:line="480"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5.5.1</w:t>
      </w:r>
      <w:r>
        <w:rPr>
          <w:rFonts w:hint="eastAsia" w:ascii="宋体" w:hAnsi="宋体" w:eastAsia="宋体" w:cs="宋体"/>
          <w:color w:val="auto"/>
          <w:sz w:val="21"/>
          <w:szCs w:val="21"/>
        </w:rPr>
        <w:t>勘察人应按合同进度计划的要求，及时配置勘察设备进行作业。勘察人更换合同约定的勘察设备的，应报发包人批准。</w:t>
      </w:r>
    </w:p>
    <w:p>
      <w:pPr>
        <w:pStyle w:val="60"/>
        <w:shd w:val="clear" w:color="auto" w:fill="auto"/>
        <w:spacing w:before="0" w:after="0" w:line="480"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5.5.2</w:t>
      </w:r>
      <w:r>
        <w:rPr>
          <w:rFonts w:hint="eastAsia" w:ascii="宋体" w:hAnsi="宋体" w:eastAsia="宋体" w:cs="宋体"/>
          <w:color w:val="auto"/>
          <w:sz w:val="21"/>
          <w:szCs w:val="21"/>
        </w:rPr>
        <w:t>勘察人应按照规范要求，及时维修、保养或更换勘察设备，包括并不限于钻机、触探仪、全站仪、水准仪、探测仪、测井平台、天平、固结仪、振筛机、干燥箱、直剪仪、收缩仪、膨胀仪、渗透仪等，保证勘察设备能够随时进场使用。</w:t>
      </w:r>
    </w:p>
    <w:p>
      <w:pPr>
        <w:pStyle w:val="60"/>
        <w:shd w:val="clear" w:color="auto" w:fill="auto"/>
        <w:spacing w:before="0" w:after="0" w:line="480"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5.5.3</w:t>
      </w:r>
      <w:r>
        <w:rPr>
          <w:rFonts w:hint="eastAsia" w:ascii="宋体" w:hAnsi="宋体" w:eastAsia="宋体" w:cs="宋体"/>
          <w:color w:val="auto"/>
          <w:sz w:val="21"/>
          <w:szCs w:val="21"/>
        </w:rPr>
        <w:t>勘察人使用的勘察设备不能满足合同进度计划和（或）质量要求时，发包人有权要求勘察人增加或更换勘察设备，勘察人应及时增加或更换，由此增加的费用和（或）周期延误由勘察人自行承担。</w:t>
      </w:r>
    </w:p>
    <w:p>
      <w:pPr>
        <w:pStyle w:val="64"/>
        <w:keepNext/>
        <w:keepLines/>
        <w:shd w:val="clear" w:color="auto" w:fill="auto"/>
        <w:spacing w:line="480" w:lineRule="exact"/>
        <w:ind w:firstLine="520"/>
        <w:rPr>
          <w:rFonts w:ascii="宋体" w:hAnsi="宋体" w:eastAsia="宋体" w:cs="Times New Roman"/>
          <w:color w:val="auto"/>
          <w:sz w:val="21"/>
          <w:szCs w:val="21"/>
        </w:rPr>
      </w:pPr>
      <w:bookmarkStart w:id="27" w:name="bookmark121"/>
      <w:r>
        <w:rPr>
          <w:rFonts w:ascii="宋体" w:hAnsi="宋体" w:eastAsia="宋体" w:cs="宋体"/>
          <w:color w:val="auto"/>
          <w:sz w:val="21"/>
          <w:szCs w:val="21"/>
        </w:rPr>
        <w:t>5.6</w:t>
      </w:r>
      <w:r>
        <w:rPr>
          <w:rFonts w:hint="eastAsia" w:ascii="宋体" w:hAnsi="宋体" w:eastAsia="宋体" w:cs="宋体"/>
          <w:color w:val="auto"/>
          <w:sz w:val="21"/>
          <w:szCs w:val="21"/>
        </w:rPr>
        <w:t>临时占地和设施要求</w:t>
      </w:r>
      <w:bookmarkEnd w:id="27"/>
    </w:p>
    <w:p>
      <w:pPr>
        <w:pStyle w:val="60"/>
        <w:shd w:val="clear" w:color="auto" w:fill="auto"/>
        <w:spacing w:before="0" w:after="0" w:line="480"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5.6.1</w:t>
      </w:r>
      <w:r>
        <w:rPr>
          <w:rFonts w:hint="eastAsia" w:ascii="宋体" w:hAnsi="宋体" w:eastAsia="宋体" w:cs="宋体"/>
          <w:color w:val="auto"/>
          <w:sz w:val="21"/>
          <w:szCs w:val="21"/>
        </w:rPr>
        <w:t>勘察人应根据勘察服务方案制订临时占地计划，报请发包人批准。</w:t>
      </w:r>
    </w:p>
    <w:p>
      <w:pPr>
        <w:pStyle w:val="60"/>
        <w:shd w:val="clear" w:color="auto" w:fill="auto"/>
        <w:spacing w:before="0" w:after="0" w:line="480"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5.6.2</w:t>
      </w:r>
      <w:r>
        <w:rPr>
          <w:rFonts w:hint="eastAsia" w:ascii="宋体" w:hAnsi="宋体" w:eastAsia="宋体" w:cs="宋体"/>
          <w:color w:val="auto"/>
          <w:sz w:val="21"/>
          <w:szCs w:val="21"/>
        </w:rPr>
        <w:t>位于本工程区域内的临时占地，由发包人协调提供。位于道路、绿化或者其他市政设施内的临时占地，由勘察人向行政管理部门报建申请，按照要求制定占地施工方案，并据此实施。</w:t>
      </w:r>
    </w:p>
    <w:p>
      <w:pPr>
        <w:pStyle w:val="60"/>
        <w:shd w:val="clear" w:color="auto" w:fill="auto"/>
        <w:spacing w:before="0" w:after="0" w:line="480"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5.6.3</w:t>
      </w:r>
      <w:r>
        <w:rPr>
          <w:rFonts w:hint="eastAsia" w:ascii="宋体" w:hAnsi="宋体" w:eastAsia="宋体" w:cs="宋体"/>
          <w:color w:val="auto"/>
          <w:sz w:val="21"/>
          <w:szCs w:val="21"/>
        </w:rPr>
        <w:t>临时占地使用完毕后，勘察人应按照发包人要求或行政管理部门规定恢复临时占地。如果恢复或清理标准不能满足要求的，发包人有权委托他人代为恢复或清理，由此发生的费用从拟支付给勘察人的勘察费用中扣除。</w:t>
      </w:r>
    </w:p>
    <w:p>
      <w:pPr>
        <w:pStyle w:val="60"/>
        <w:shd w:val="clear" w:color="auto" w:fill="auto"/>
        <w:spacing w:before="0" w:after="0" w:line="480"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5.6.4</w:t>
      </w:r>
      <w:r>
        <w:rPr>
          <w:rFonts w:hint="eastAsia" w:ascii="宋体" w:hAnsi="宋体" w:eastAsia="宋体" w:cs="宋体"/>
          <w:color w:val="auto"/>
          <w:sz w:val="21"/>
          <w:szCs w:val="21"/>
        </w:rPr>
        <w:t>勘察人应配备或搭设足够的临时设施，保证勘探工作能够正常开展。临时设施包括并不限于施工围挡、交通疏导设施、安全防范设施、钻机防护设施、安全文明施工设施、办公生活用房、取样存放场所等。</w:t>
      </w:r>
    </w:p>
    <w:p>
      <w:pPr>
        <w:pStyle w:val="60"/>
        <w:shd w:val="clear" w:color="auto" w:fill="auto"/>
        <w:spacing w:before="0" w:after="0" w:line="480"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5.6.5</w:t>
      </w:r>
      <w:r>
        <w:rPr>
          <w:rFonts w:hint="eastAsia" w:ascii="宋体" w:hAnsi="宋体" w:eastAsia="宋体" w:cs="宋体"/>
          <w:color w:val="auto"/>
          <w:sz w:val="21"/>
          <w:szCs w:val="21"/>
        </w:rPr>
        <w:t>临时设施应满足规范标准、发包人要求和行政管理部门的规定等。除专用合同条款另有约定外，临时设施的修建、拆除和恢复费用由勘察人自行承担。</w:t>
      </w:r>
    </w:p>
    <w:p>
      <w:pPr>
        <w:pStyle w:val="64"/>
        <w:keepNext/>
        <w:keepLines/>
        <w:shd w:val="clear" w:color="auto" w:fill="auto"/>
        <w:spacing w:line="480" w:lineRule="exact"/>
        <w:ind w:firstLine="520"/>
        <w:rPr>
          <w:rFonts w:ascii="宋体" w:hAnsi="宋体" w:eastAsia="宋体" w:cs="Times New Roman"/>
          <w:color w:val="auto"/>
          <w:sz w:val="21"/>
          <w:szCs w:val="21"/>
        </w:rPr>
      </w:pPr>
      <w:bookmarkStart w:id="28" w:name="bookmark122"/>
      <w:r>
        <w:rPr>
          <w:rFonts w:ascii="宋体" w:hAnsi="宋体" w:eastAsia="宋体" w:cs="宋体"/>
          <w:color w:val="auto"/>
          <w:sz w:val="21"/>
          <w:szCs w:val="21"/>
        </w:rPr>
        <w:t>5.7</w:t>
      </w:r>
      <w:r>
        <w:rPr>
          <w:rFonts w:hint="eastAsia" w:ascii="宋体" w:hAnsi="宋体" w:eastAsia="宋体" w:cs="宋体"/>
          <w:color w:val="auto"/>
          <w:sz w:val="21"/>
          <w:szCs w:val="21"/>
        </w:rPr>
        <w:t>安全作业要求</w:t>
      </w:r>
      <w:bookmarkEnd w:id="28"/>
    </w:p>
    <w:p>
      <w:pPr>
        <w:pStyle w:val="60"/>
        <w:shd w:val="clear" w:color="auto" w:fill="auto"/>
        <w:spacing w:before="0" w:after="0" w:line="480"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5.7.1</w:t>
      </w:r>
      <w:r>
        <w:rPr>
          <w:rFonts w:hint="eastAsia" w:ascii="宋体" w:hAnsi="宋体" w:eastAsia="宋体" w:cs="宋体"/>
          <w:color w:val="auto"/>
          <w:sz w:val="21"/>
          <w:szCs w:val="21"/>
        </w:rPr>
        <w:t>勘察人应按合同约定履行安全职责，执行发包人有关安全工作的指示，并在专用合同条款约定的期限内，按合同约定的安全工作内容，编制安全措施计划报送发包人批准。</w:t>
      </w:r>
    </w:p>
    <w:p>
      <w:pPr>
        <w:pStyle w:val="60"/>
        <w:shd w:val="clear" w:color="auto" w:fill="auto"/>
        <w:spacing w:before="0" w:after="0" w:line="480"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5.7.2</w:t>
      </w:r>
      <w:r>
        <w:rPr>
          <w:rFonts w:hint="eastAsia" w:ascii="宋体" w:hAnsi="宋体" w:eastAsia="宋体" w:cs="宋体"/>
          <w:color w:val="auto"/>
          <w:sz w:val="21"/>
          <w:szCs w:val="21"/>
        </w:rPr>
        <w:t>勘察人应严格执行操作规程，采取有效措施保证道路、桥梁、交通安全设施、建构筑物、地下管线、架空线和其他周边设施等安全正常地运行。</w:t>
      </w:r>
    </w:p>
    <w:p>
      <w:pPr>
        <w:pStyle w:val="60"/>
        <w:shd w:val="clear" w:color="auto" w:fill="auto"/>
        <w:spacing w:before="0" w:after="0" w:line="480"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5.7.3</w:t>
      </w:r>
      <w:r>
        <w:rPr>
          <w:rFonts w:hint="eastAsia" w:ascii="宋体" w:hAnsi="宋体" w:eastAsia="宋体" w:cs="宋体"/>
          <w:color w:val="auto"/>
          <w:sz w:val="21"/>
          <w:szCs w:val="21"/>
        </w:rPr>
        <w:t>勘察人应按照法律、法规和工程建设强制性标准进行勘察，加强勘察作业安全管理，特别加强易燃、易爆材料、火工器材、有毒与腐蚀性材料和其他危险品的管理。</w:t>
      </w:r>
    </w:p>
    <w:p>
      <w:pPr>
        <w:pStyle w:val="60"/>
        <w:shd w:val="clear" w:color="auto" w:fill="auto"/>
        <w:spacing w:before="0" w:after="0" w:line="480"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5.7.4</w:t>
      </w:r>
      <w:r>
        <w:rPr>
          <w:rFonts w:hint="eastAsia" w:ascii="宋体" w:hAnsi="宋体" w:eastAsia="宋体" w:cs="宋体"/>
          <w:color w:val="auto"/>
          <w:sz w:val="21"/>
          <w:szCs w:val="21"/>
        </w:rPr>
        <w:t>勘察人应严格按照国家安全标准制定施工安全操作规程，配备必要的安全生产和劳动保护设施，加强对勘察人人员的安全教育，并且发放安全工作手册和劳动保护用具。</w:t>
      </w:r>
    </w:p>
    <w:p>
      <w:pPr>
        <w:pStyle w:val="60"/>
        <w:shd w:val="clear" w:color="auto" w:fill="auto"/>
        <w:spacing w:before="0" w:after="0" w:line="480"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5.7.5</w:t>
      </w:r>
      <w:r>
        <w:rPr>
          <w:rFonts w:hint="eastAsia" w:ascii="宋体" w:hAnsi="宋体" w:eastAsia="宋体" w:cs="宋体"/>
          <w:color w:val="auto"/>
          <w:sz w:val="21"/>
          <w:szCs w:val="21"/>
        </w:rPr>
        <w:t>勘察人应按发包人的指示制定应对灾害的紧急预案，报送发包人批准。勘察人还应按预案做好安全检查，配置必要的救助物资和器材，切实保护好有关人员的人身和财产安全。</w:t>
      </w:r>
    </w:p>
    <w:p>
      <w:pPr>
        <w:pStyle w:val="60"/>
        <w:shd w:val="clear" w:color="auto" w:fill="auto"/>
        <w:spacing w:before="0" w:after="0" w:line="480" w:lineRule="exact"/>
        <w:ind w:firstLine="500"/>
        <w:jc w:val="both"/>
        <w:rPr>
          <w:rFonts w:ascii="宋体" w:hAnsi="宋体" w:eastAsia="宋体" w:cs="Times New Roman"/>
          <w:color w:val="auto"/>
          <w:sz w:val="21"/>
          <w:szCs w:val="21"/>
        </w:rPr>
      </w:pPr>
      <w:r>
        <w:rPr>
          <w:rFonts w:ascii="宋体" w:hAnsi="宋体" w:eastAsia="宋体" w:cs="宋体"/>
          <w:color w:val="auto"/>
          <w:sz w:val="21"/>
          <w:szCs w:val="21"/>
        </w:rPr>
        <w:t>5.7.6</w:t>
      </w:r>
      <w:r>
        <w:rPr>
          <w:rFonts w:hint="eastAsia" w:ascii="宋体" w:hAnsi="宋体" w:eastAsia="宋体" w:cs="宋体"/>
          <w:color w:val="auto"/>
          <w:sz w:val="21"/>
          <w:szCs w:val="21"/>
        </w:rPr>
        <w:t>勘察人应对其履行合同所雇佣的全部人员，包括分包人人员的工伤事故承担责任，但由于发包人原因造成勘察人人员工伤事故的，应由发包人承担责任。</w:t>
      </w:r>
    </w:p>
    <w:p>
      <w:pPr>
        <w:pStyle w:val="60"/>
        <w:shd w:val="clear" w:color="auto" w:fill="auto"/>
        <w:spacing w:before="0" w:after="0" w:line="480" w:lineRule="exact"/>
        <w:ind w:firstLine="500"/>
        <w:jc w:val="both"/>
        <w:rPr>
          <w:rFonts w:ascii="宋体" w:hAnsi="宋体" w:eastAsia="宋体" w:cs="Times New Roman"/>
          <w:color w:val="auto"/>
          <w:sz w:val="21"/>
          <w:szCs w:val="21"/>
        </w:rPr>
      </w:pPr>
      <w:r>
        <w:rPr>
          <w:rFonts w:ascii="宋体" w:hAnsi="宋体" w:eastAsia="宋体" w:cs="宋体"/>
          <w:color w:val="auto"/>
          <w:sz w:val="21"/>
          <w:szCs w:val="21"/>
        </w:rPr>
        <w:t>5.7.7</w:t>
      </w:r>
      <w:r>
        <w:rPr>
          <w:rFonts w:hint="eastAsia" w:ascii="宋体" w:hAnsi="宋体" w:eastAsia="宋体" w:cs="宋体"/>
          <w:color w:val="auto"/>
          <w:sz w:val="21"/>
          <w:szCs w:val="21"/>
        </w:rPr>
        <w:t>由于勘察人原因在施工场地内及其毗邻地带造成的第三者人员伤亡和财产损失，由勘察人负责赔偿。</w:t>
      </w:r>
    </w:p>
    <w:p>
      <w:pPr>
        <w:pStyle w:val="64"/>
        <w:keepNext/>
        <w:keepLines/>
        <w:shd w:val="clear" w:color="auto" w:fill="auto"/>
        <w:spacing w:line="480" w:lineRule="exact"/>
        <w:ind w:firstLine="500"/>
        <w:rPr>
          <w:rFonts w:ascii="宋体" w:hAnsi="宋体" w:eastAsia="宋体" w:cs="Times New Roman"/>
          <w:color w:val="auto"/>
          <w:sz w:val="21"/>
          <w:szCs w:val="21"/>
        </w:rPr>
      </w:pPr>
      <w:bookmarkStart w:id="29" w:name="bookmark123"/>
      <w:r>
        <w:rPr>
          <w:rFonts w:ascii="宋体" w:hAnsi="宋体" w:eastAsia="宋体" w:cs="宋体"/>
          <w:color w:val="auto"/>
          <w:sz w:val="21"/>
          <w:szCs w:val="21"/>
        </w:rPr>
        <w:t>5.8</w:t>
      </w:r>
      <w:r>
        <w:rPr>
          <w:rFonts w:hint="eastAsia" w:ascii="宋体" w:hAnsi="宋体" w:eastAsia="宋体" w:cs="宋体"/>
          <w:color w:val="auto"/>
          <w:sz w:val="21"/>
          <w:szCs w:val="21"/>
        </w:rPr>
        <w:t>环境保护要求</w:t>
      </w:r>
      <w:bookmarkEnd w:id="29"/>
    </w:p>
    <w:p>
      <w:pPr>
        <w:pStyle w:val="60"/>
        <w:shd w:val="clear" w:color="auto" w:fill="auto"/>
        <w:spacing w:before="0" w:after="0" w:line="480" w:lineRule="exact"/>
        <w:ind w:firstLine="500"/>
        <w:jc w:val="both"/>
        <w:rPr>
          <w:rFonts w:ascii="宋体" w:hAnsi="宋体" w:eastAsia="宋体" w:cs="Times New Roman"/>
          <w:color w:val="auto"/>
          <w:sz w:val="21"/>
          <w:szCs w:val="21"/>
        </w:rPr>
      </w:pPr>
      <w:r>
        <w:rPr>
          <w:rFonts w:ascii="宋体" w:hAnsi="宋体" w:eastAsia="宋体" w:cs="宋体"/>
          <w:color w:val="auto"/>
          <w:sz w:val="21"/>
          <w:szCs w:val="21"/>
        </w:rPr>
        <w:t>5.8.1</w:t>
      </w:r>
      <w:r>
        <w:rPr>
          <w:rFonts w:hint="eastAsia" w:ascii="宋体" w:hAnsi="宋体" w:eastAsia="宋体" w:cs="宋体"/>
          <w:color w:val="auto"/>
          <w:sz w:val="21"/>
          <w:szCs w:val="21"/>
        </w:rPr>
        <w:t>勘察人在履行合同过程中，应遵守有关环境保护的法律，履行合同约定的环境保护义务，并对违反法律和合同约定义务所造成的环境破坏、人身伤害和财产损失负责。</w:t>
      </w:r>
    </w:p>
    <w:p>
      <w:pPr>
        <w:pStyle w:val="60"/>
        <w:shd w:val="clear" w:color="auto" w:fill="auto"/>
        <w:spacing w:before="0" w:after="0" w:line="480" w:lineRule="exact"/>
        <w:ind w:firstLine="500"/>
        <w:jc w:val="both"/>
        <w:rPr>
          <w:rFonts w:ascii="宋体" w:hAnsi="宋体" w:eastAsia="宋体" w:cs="Times New Roman"/>
          <w:color w:val="auto"/>
          <w:sz w:val="21"/>
          <w:szCs w:val="21"/>
        </w:rPr>
      </w:pPr>
      <w:r>
        <w:rPr>
          <w:rFonts w:ascii="宋体" w:hAnsi="宋体" w:eastAsia="宋体" w:cs="宋体"/>
          <w:color w:val="auto"/>
          <w:sz w:val="21"/>
          <w:szCs w:val="21"/>
        </w:rPr>
        <w:t>5.8.2</w:t>
      </w:r>
      <w:r>
        <w:rPr>
          <w:rFonts w:hint="eastAsia" w:ascii="宋体" w:hAnsi="宋体" w:eastAsia="宋体" w:cs="宋体"/>
          <w:color w:val="auto"/>
          <w:sz w:val="21"/>
          <w:szCs w:val="21"/>
        </w:rPr>
        <w:t>勘察人应按合同约定的环保工作内容，编制环保措施计划，报送发包人批准。</w:t>
      </w:r>
    </w:p>
    <w:p>
      <w:pPr>
        <w:pStyle w:val="60"/>
        <w:shd w:val="clear" w:color="auto" w:fill="auto"/>
        <w:spacing w:before="0" w:after="0" w:line="480" w:lineRule="exact"/>
        <w:ind w:firstLine="500"/>
        <w:jc w:val="both"/>
        <w:rPr>
          <w:rFonts w:ascii="宋体" w:hAnsi="宋体" w:eastAsia="宋体" w:cs="Times New Roman"/>
          <w:color w:val="auto"/>
          <w:sz w:val="21"/>
          <w:szCs w:val="21"/>
        </w:rPr>
      </w:pPr>
      <w:r>
        <w:rPr>
          <w:rFonts w:ascii="宋体" w:hAnsi="宋体" w:eastAsia="宋体" w:cs="宋体"/>
          <w:color w:val="auto"/>
          <w:sz w:val="21"/>
          <w:szCs w:val="21"/>
        </w:rPr>
        <w:t>5.8.3</w:t>
      </w:r>
      <w:r>
        <w:rPr>
          <w:rFonts w:hint="eastAsia" w:ascii="宋体" w:hAnsi="宋体" w:eastAsia="宋体" w:cs="宋体"/>
          <w:color w:val="auto"/>
          <w:sz w:val="21"/>
          <w:szCs w:val="21"/>
        </w:rPr>
        <w:t>勘察人应确保勘探过程中产生的气体排放物、粉尘、噪声、地面排水及排污等，符合法律规定和发包人要求。</w:t>
      </w:r>
    </w:p>
    <w:p>
      <w:pPr>
        <w:pStyle w:val="64"/>
        <w:keepNext/>
        <w:keepLines/>
        <w:shd w:val="clear" w:color="auto" w:fill="auto"/>
        <w:spacing w:line="480" w:lineRule="exact"/>
        <w:ind w:firstLine="500"/>
        <w:rPr>
          <w:rFonts w:ascii="宋体" w:hAnsi="宋体" w:eastAsia="宋体" w:cs="Times New Roman"/>
          <w:color w:val="auto"/>
          <w:sz w:val="21"/>
          <w:szCs w:val="21"/>
        </w:rPr>
      </w:pPr>
      <w:bookmarkStart w:id="30" w:name="bookmark124"/>
      <w:r>
        <w:rPr>
          <w:rFonts w:ascii="宋体" w:hAnsi="宋体" w:eastAsia="宋体" w:cs="宋体"/>
          <w:color w:val="auto"/>
          <w:sz w:val="21"/>
          <w:szCs w:val="21"/>
        </w:rPr>
        <w:t>5.9</w:t>
      </w:r>
      <w:r>
        <w:rPr>
          <w:rFonts w:hint="eastAsia" w:ascii="宋体" w:hAnsi="宋体" w:eastAsia="宋体" w:cs="宋体"/>
          <w:color w:val="auto"/>
          <w:sz w:val="21"/>
          <w:szCs w:val="21"/>
        </w:rPr>
        <w:t>事故处理要求</w:t>
      </w:r>
      <w:bookmarkEnd w:id="30"/>
    </w:p>
    <w:p>
      <w:pPr>
        <w:pStyle w:val="60"/>
        <w:shd w:val="clear" w:color="auto" w:fill="auto"/>
        <w:spacing w:before="0" w:after="0" w:line="480" w:lineRule="exact"/>
        <w:ind w:firstLine="500"/>
        <w:jc w:val="both"/>
        <w:rPr>
          <w:rFonts w:ascii="宋体" w:hAnsi="宋体" w:eastAsia="宋体" w:cs="Times New Roman"/>
          <w:color w:val="auto"/>
          <w:sz w:val="21"/>
          <w:szCs w:val="21"/>
        </w:rPr>
      </w:pPr>
      <w:r>
        <w:rPr>
          <w:rFonts w:ascii="宋体" w:hAnsi="宋体" w:eastAsia="宋体" w:cs="宋体"/>
          <w:color w:val="auto"/>
          <w:sz w:val="21"/>
          <w:szCs w:val="21"/>
        </w:rPr>
        <w:t>5.9.1</w:t>
      </w:r>
      <w:r>
        <w:rPr>
          <w:rFonts w:hint="eastAsia" w:ascii="宋体" w:hAnsi="宋体" w:eastAsia="宋体" w:cs="宋体"/>
          <w:color w:val="auto"/>
          <w:sz w:val="21"/>
          <w:szCs w:val="21"/>
        </w:rPr>
        <w:t>合同履行过程中发生事故的，勘察人应立即通知发包人。</w:t>
      </w:r>
    </w:p>
    <w:p>
      <w:pPr>
        <w:pStyle w:val="60"/>
        <w:shd w:val="clear" w:color="auto" w:fill="auto"/>
        <w:spacing w:before="0" w:after="0" w:line="480" w:lineRule="exact"/>
        <w:ind w:firstLine="500"/>
        <w:jc w:val="both"/>
        <w:rPr>
          <w:rFonts w:ascii="宋体" w:hAnsi="宋体" w:eastAsia="宋体" w:cs="Times New Roman"/>
          <w:color w:val="auto"/>
          <w:sz w:val="21"/>
          <w:szCs w:val="21"/>
        </w:rPr>
      </w:pPr>
      <w:r>
        <w:rPr>
          <w:rFonts w:ascii="宋体" w:hAnsi="宋体" w:eastAsia="宋体" w:cs="宋体"/>
          <w:color w:val="auto"/>
          <w:sz w:val="21"/>
          <w:szCs w:val="21"/>
        </w:rPr>
        <w:t>5.9.2</w:t>
      </w:r>
      <w:r>
        <w:rPr>
          <w:rFonts w:hint="eastAsia" w:ascii="宋体" w:hAnsi="宋体" w:eastAsia="宋体" w:cs="宋体"/>
          <w:color w:val="auto"/>
          <w:sz w:val="21"/>
          <w:szCs w:val="21"/>
        </w:rPr>
        <w:t>发包人和勘察人应立即组织人员和设备进行紧急抢救和抢修，减少人员伤亡和财产损失，防止事故扩大，并保护事故现场。需要移动现场物品时，应作出标记和书面记录，妥善保管有关证据。发包人和勘察人应按国家有关规定，及时如实地向有关部门报告事故发生的情况，以及正在采取的紧急措施等。</w:t>
      </w:r>
    </w:p>
    <w:p>
      <w:pPr>
        <w:pStyle w:val="64"/>
        <w:keepNext/>
        <w:keepLines/>
        <w:shd w:val="clear" w:color="auto" w:fill="auto"/>
        <w:spacing w:line="480" w:lineRule="exact"/>
        <w:ind w:firstLine="500"/>
        <w:rPr>
          <w:rFonts w:ascii="宋体" w:hAnsi="宋体" w:eastAsia="宋体" w:cs="Times New Roman"/>
          <w:color w:val="auto"/>
          <w:sz w:val="21"/>
          <w:szCs w:val="21"/>
        </w:rPr>
      </w:pPr>
      <w:bookmarkStart w:id="31" w:name="bookmark125"/>
      <w:r>
        <w:rPr>
          <w:rFonts w:ascii="宋体" w:hAnsi="宋体" w:eastAsia="宋体" w:cs="宋体"/>
          <w:color w:val="auto"/>
          <w:sz w:val="21"/>
          <w:szCs w:val="21"/>
        </w:rPr>
        <w:t>5.10</w:t>
      </w:r>
      <w:r>
        <w:rPr>
          <w:rFonts w:hint="eastAsia" w:ascii="宋体" w:hAnsi="宋体" w:eastAsia="宋体" w:cs="宋体"/>
          <w:color w:val="auto"/>
          <w:sz w:val="21"/>
          <w:szCs w:val="21"/>
        </w:rPr>
        <w:t>勘察文件要求</w:t>
      </w:r>
      <w:bookmarkEnd w:id="31"/>
    </w:p>
    <w:p>
      <w:pPr>
        <w:pStyle w:val="60"/>
        <w:shd w:val="clear" w:color="auto" w:fill="auto"/>
        <w:spacing w:before="0" w:after="0" w:line="480" w:lineRule="exact"/>
        <w:ind w:firstLine="500"/>
        <w:jc w:val="both"/>
        <w:rPr>
          <w:rFonts w:ascii="宋体" w:hAnsi="宋体" w:eastAsia="宋体" w:cs="Times New Roman"/>
          <w:color w:val="auto"/>
          <w:sz w:val="21"/>
          <w:szCs w:val="21"/>
        </w:rPr>
      </w:pPr>
      <w:r>
        <w:rPr>
          <w:rFonts w:ascii="宋体" w:hAnsi="宋体" w:eastAsia="宋体" w:cs="宋体"/>
          <w:color w:val="auto"/>
          <w:sz w:val="21"/>
          <w:szCs w:val="21"/>
        </w:rPr>
        <w:t>5.10.1</w:t>
      </w:r>
      <w:r>
        <w:rPr>
          <w:rFonts w:hint="eastAsia" w:ascii="宋体" w:hAnsi="宋体" w:eastAsia="宋体" w:cs="宋体"/>
          <w:color w:val="auto"/>
          <w:sz w:val="21"/>
          <w:szCs w:val="21"/>
        </w:rPr>
        <w:t>勘察文件的编制应符合法律法规、规范标准的强制性规定和发包人要求，相关勘察依据应完整、准确、可靠，勘察方案论证充分，计算成果规范可靠，并能够实施。</w:t>
      </w:r>
    </w:p>
    <w:p>
      <w:pPr>
        <w:pStyle w:val="60"/>
        <w:shd w:val="clear" w:color="auto" w:fill="auto"/>
        <w:spacing w:before="0" w:after="0" w:line="480" w:lineRule="exact"/>
        <w:ind w:firstLine="500"/>
        <w:jc w:val="both"/>
        <w:rPr>
          <w:rFonts w:ascii="宋体" w:hAnsi="宋体" w:eastAsia="宋体" w:cs="Times New Roman"/>
          <w:color w:val="auto"/>
          <w:sz w:val="21"/>
          <w:szCs w:val="21"/>
        </w:rPr>
      </w:pPr>
      <w:r>
        <w:rPr>
          <w:rFonts w:ascii="宋体" w:hAnsi="宋体" w:eastAsia="宋体" w:cs="宋体"/>
          <w:color w:val="auto"/>
          <w:sz w:val="21"/>
          <w:szCs w:val="21"/>
        </w:rPr>
        <w:t>5.10.2</w:t>
      </w:r>
      <w:r>
        <w:rPr>
          <w:rFonts w:hint="eastAsia" w:ascii="宋体" w:hAnsi="宋体" w:eastAsia="宋体" w:cs="宋体"/>
          <w:color w:val="auto"/>
          <w:sz w:val="21"/>
          <w:szCs w:val="21"/>
        </w:rPr>
        <w:t>勘察服务应根据法律、规范标准和发包人要求，保证工程的合理使用寿命年限，并在勘察文件中予以注明。</w:t>
      </w:r>
    </w:p>
    <w:p>
      <w:pPr>
        <w:pStyle w:val="60"/>
        <w:shd w:val="clear" w:color="auto" w:fill="auto"/>
        <w:spacing w:before="0" w:after="0" w:line="480" w:lineRule="exact"/>
        <w:ind w:firstLine="500"/>
        <w:jc w:val="both"/>
        <w:rPr>
          <w:rFonts w:ascii="宋体" w:hAnsi="宋体" w:eastAsia="宋体" w:cs="Times New Roman"/>
          <w:color w:val="auto"/>
          <w:sz w:val="21"/>
          <w:szCs w:val="21"/>
        </w:rPr>
      </w:pPr>
      <w:r>
        <w:rPr>
          <w:rFonts w:ascii="宋体" w:hAnsi="宋体" w:eastAsia="宋体" w:cs="宋体"/>
          <w:color w:val="auto"/>
          <w:sz w:val="21"/>
          <w:szCs w:val="21"/>
        </w:rPr>
        <w:t>5.10.3</w:t>
      </w:r>
      <w:r>
        <w:rPr>
          <w:rFonts w:hint="eastAsia" w:ascii="宋体" w:hAnsi="宋体" w:eastAsia="宋体" w:cs="宋体"/>
          <w:color w:val="auto"/>
          <w:sz w:val="21"/>
          <w:szCs w:val="21"/>
        </w:rPr>
        <w:t>勘察文件的深度应满足本合同相应勘察阶段的规定要求，满足发包人的下步工作需要，并应符合国家和行业现行规定。</w:t>
      </w:r>
    </w:p>
    <w:p>
      <w:pPr>
        <w:pStyle w:val="60"/>
        <w:shd w:val="clear" w:color="auto" w:fill="auto"/>
        <w:spacing w:before="0" w:after="0" w:line="480"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5.10.4</w:t>
      </w:r>
      <w:r>
        <w:rPr>
          <w:rFonts w:hint="eastAsia" w:ascii="宋体" w:hAnsi="宋体" w:eastAsia="宋体" w:cs="宋体"/>
          <w:color w:val="auto"/>
          <w:sz w:val="21"/>
          <w:szCs w:val="21"/>
        </w:rPr>
        <w:t>勘察设文件必须保证工程质量和施工安全等方面的要求，按照有关法律法规规定在勘察文件中提出保障施工作业人员安全和预防生产安全事故的措施建议。</w:t>
      </w:r>
    </w:p>
    <w:p>
      <w:pPr>
        <w:pStyle w:val="60"/>
        <w:shd w:val="clear" w:color="auto" w:fill="auto"/>
        <w:spacing w:before="0" w:after="0" w:line="480"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5.10.5</w:t>
      </w:r>
      <w:r>
        <w:rPr>
          <w:rFonts w:hint="eastAsia" w:ascii="宋体" w:hAnsi="宋体" w:eastAsia="宋体" w:cs="宋体"/>
          <w:color w:val="auto"/>
          <w:sz w:val="21"/>
          <w:szCs w:val="21"/>
        </w:rPr>
        <w:t>勘察文件必须符合下列要求：</w:t>
      </w:r>
    </w:p>
    <w:p>
      <w:pPr>
        <w:pStyle w:val="60"/>
        <w:numPr>
          <w:ilvl w:val="0"/>
          <w:numId w:val="10"/>
        </w:numPr>
        <w:shd w:val="clear" w:color="auto" w:fill="auto"/>
        <w:tabs>
          <w:tab w:val="left" w:pos="1071"/>
        </w:tabs>
        <w:spacing w:before="0" w:after="0" w:line="480" w:lineRule="exact"/>
        <w:ind w:firstLine="640"/>
        <w:jc w:val="both"/>
        <w:rPr>
          <w:rFonts w:ascii="宋体" w:hAnsi="宋体" w:eastAsia="宋体" w:cs="Times New Roman"/>
          <w:color w:val="auto"/>
          <w:sz w:val="21"/>
          <w:szCs w:val="21"/>
        </w:rPr>
      </w:pPr>
      <w:r>
        <w:rPr>
          <w:rFonts w:hint="eastAsia" w:ascii="宋体" w:hAnsi="宋体" w:eastAsia="宋体" w:cs="宋体"/>
          <w:color w:val="auto"/>
          <w:sz w:val="21"/>
          <w:szCs w:val="21"/>
        </w:rPr>
        <w:t>勘察文件的编制必须严格执行国家基本建设程序、工程建设标准强制性条文及有关公路工程建设的法律、法规、规章、规范、标准、规程、定额和合同的要求。</w:t>
      </w:r>
    </w:p>
    <w:p>
      <w:pPr>
        <w:pStyle w:val="60"/>
        <w:numPr>
          <w:ilvl w:val="0"/>
          <w:numId w:val="10"/>
        </w:numPr>
        <w:shd w:val="clear" w:color="auto" w:fill="auto"/>
        <w:tabs>
          <w:tab w:val="left" w:pos="1076"/>
        </w:tabs>
        <w:spacing w:before="0" w:after="0" w:line="480" w:lineRule="exact"/>
        <w:ind w:firstLine="640"/>
        <w:jc w:val="both"/>
        <w:rPr>
          <w:rFonts w:ascii="宋体" w:hAnsi="宋体" w:eastAsia="宋体" w:cs="Times New Roman"/>
          <w:color w:val="auto"/>
          <w:sz w:val="21"/>
          <w:szCs w:val="21"/>
        </w:rPr>
      </w:pPr>
      <w:r>
        <w:rPr>
          <w:rFonts w:hint="eastAsia" w:ascii="宋体" w:hAnsi="宋体" w:eastAsia="宋体" w:cs="宋体"/>
          <w:color w:val="auto"/>
          <w:sz w:val="21"/>
          <w:szCs w:val="21"/>
        </w:rPr>
        <w:t>勘察文件的编制须符合国民经济、社会发展规划和产业政策，贯彻提高社会经济效益和促进技术进步的方针，实行资源综合利用，节约资源和能源，符合国家自然风景区、城市、集镇、村庄规划和相关专业规划，符合国家有关劳动安全卫生、消防、抗震、人防规定。</w:t>
      </w:r>
    </w:p>
    <w:p>
      <w:pPr>
        <w:pStyle w:val="60"/>
        <w:numPr>
          <w:ilvl w:val="0"/>
          <w:numId w:val="10"/>
        </w:numPr>
        <w:shd w:val="clear" w:color="auto" w:fill="auto"/>
        <w:tabs>
          <w:tab w:val="left" w:pos="1074"/>
        </w:tabs>
        <w:spacing w:before="0" w:after="0" w:line="480" w:lineRule="exact"/>
        <w:ind w:firstLine="640"/>
        <w:jc w:val="left"/>
        <w:rPr>
          <w:rFonts w:ascii="宋体" w:hAnsi="宋体" w:eastAsia="宋体" w:cs="Times New Roman"/>
          <w:color w:val="auto"/>
          <w:sz w:val="21"/>
          <w:szCs w:val="21"/>
        </w:rPr>
      </w:pPr>
      <w:r>
        <w:rPr>
          <w:rFonts w:hint="eastAsia" w:ascii="宋体" w:hAnsi="宋体" w:eastAsia="宋体" w:cs="宋体"/>
          <w:color w:val="auto"/>
          <w:sz w:val="21"/>
          <w:szCs w:val="21"/>
        </w:rPr>
        <w:t>勘察文件必须保证工程质量和安全的要求，符合安全、适用、耐久、经济、美观的综合要求；并应特别注意沿线景观及沿线设施的协调性和环境保护、水土保持的要求。</w:t>
      </w:r>
    </w:p>
    <w:p>
      <w:pPr>
        <w:pStyle w:val="70"/>
        <w:keepNext/>
        <w:keepLines/>
        <w:numPr>
          <w:ilvl w:val="0"/>
          <w:numId w:val="2"/>
        </w:numPr>
        <w:shd w:val="clear" w:color="auto" w:fill="auto"/>
        <w:spacing w:before="0" w:after="126" w:line="288" w:lineRule="exact"/>
        <w:jc w:val="left"/>
        <w:rPr>
          <w:rFonts w:ascii="宋体" w:hAnsi="宋体" w:eastAsia="宋体" w:cs="Times New Roman"/>
          <w:color w:val="auto"/>
          <w:sz w:val="21"/>
          <w:szCs w:val="21"/>
        </w:rPr>
      </w:pPr>
      <w:bookmarkStart w:id="32" w:name="bookmark126"/>
      <w:r>
        <w:rPr>
          <w:rStyle w:val="71"/>
          <w:rFonts w:hint="eastAsia" w:ascii="宋体" w:hAnsi="宋体" w:eastAsia="宋体" w:cs="宋体"/>
          <w:b/>
          <w:bCs/>
          <w:color w:val="auto"/>
          <w:sz w:val="21"/>
          <w:szCs w:val="21"/>
        </w:rPr>
        <w:t>开始勘察和完成勘察</w:t>
      </w:r>
      <w:bookmarkEnd w:id="32"/>
    </w:p>
    <w:p>
      <w:pPr>
        <w:pStyle w:val="64"/>
        <w:keepNext/>
        <w:keepLines/>
        <w:shd w:val="clear" w:color="auto" w:fill="auto"/>
        <w:spacing w:line="480" w:lineRule="exact"/>
        <w:ind w:firstLine="500"/>
        <w:rPr>
          <w:rFonts w:ascii="宋体" w:hAnsi="宋体" w:eastAsia="宋体" w:cs="Times New Roman"/>
          <w:color w:val="auto"/>
          <w:sz w:val="21"/>
          <w:szCs w:val="21"/>
        </w:rPr>
      </w:pPr>
      <w:bookmarkStart w:id="33" w:name="bookmark127"/>
      <w:r>
        <w:rPr>
          <w:rFonts w:ascii="宋体" w:hAnsi="宋体" w:eastAsia="宋体" w:cs="宋体"/>
          <w:color w:val="auto"/>
          <w:sz w:val="21"/>
          <w:szCs w:val="21"/>
          <w:lang w:eastAsia="en-US"/>
        </w:rPr>
        <w:t>6.1</w:t>
      </w:r>
      <w:r>
        <w:rPr>
          <w:rFonts w:hint="eastAsia" w:ascii="宋体" w:hAnsi="宋体" w:eastAsia="宋体" w:cs="宋体"/>
          <w:color w:val="auto"/>
          <w:sz w:val="21"/>
          <w:szCs w:val="21"/>
        </w:rPr>
        <w:t>开始勘察</w:t>
      </w:r>
      <w:bookmarkEnd w:id="33"/>
    </w:p>
    <w:p>
      <w:pPr>
        <w:pStyle w:val="60"/>
        <w:shd w:val="clear" w:color="auto" w:fill="auto"/>
        <w:spacing w:before="0" w:after="0" w:line="480" w:lineRule="exact"/>
        <w:ind w:firstLine="500"/>
        <w:jc w:val="both"/>
        <w:rPr>
          <w:rFonts w:ascii="宋体" w:hAnsi="宋体" w:eastAsia="宋体" w:cs="Times New Roman"/>
          <w:color w:val="auto"/>
          <w:sz w:val="21"/>
          <w:szCs w:val="21"/>
        </w:rPr>
      </w:pPr>
      <w:r>
        <w:rPr>
          <w:rFonts w:ascii="宋体" w:hAnsi="宋体" w:eastAsia="宋体" w:cs="宋体"/>
          <w:color w:val="auto"/>
          <w:sz w:val="21"/>
          <w:szCs w:val="21"/>
        </w:rPr>
        <w:t>6.1.1</w:t>
      </w:r>
      <w:r>
        <w:rPr>
          <w:rFonts w:hint="eastAsia" w:ascii="宋体" w:hAnsi="宋体" w:eastAsia="宋体" w:cs="宋体"/>
          <w:color w:val="auto"/>
          <w:sz w:val="21"/>
          <w:szCs w:val="21"/>
        </w:rPr>
        <w:t>符合专用合同条款约定的开始勘察条件的，发包人应提前</w:t>
      </w:r>
      <w:r>
        <w:rPr>
          <w:rFonts w:ascii="宋体" w:hAnsi="宋体" w:eastAsia="宋体" w:cs="宋体"/>
          <w:color w:val="auto"/>
          <w:sz w:val="21"/>
          <w:szCs w:val="21"/>
        </w:rPr>
        <w:t>7</w:t>
      </w:r>
      <w:r>
        <w:rPr>
          <w:rFonts w:hint="eastAsia" w:ascii="宋体" w:hAnsi="宋体" w:eastAsia="宋体" w:cs="宋体"/>
          <w:color w:val="auto"/>
          <w:sz w:val="21"/>
          <w:szCs w:val="21"/>
        </w:rPr>
        <w:t>天向勘察人发出开始勘察通知。勘察服务期限自开始勘察通知中载明的开始勘察日期起计算。勘察服务周期安排在专用合同条款中约定。</w:t>
      </w:r>
    </w:p>
    <w:p>
      <w:pPr>
        <w:pStyle w:val="60"/>
        <w:shd w:val="clear" w:color="auto" w:fill="auto"/>
        <w:spacing w:before="0" w:after="0" w:line="480" w:lineRule="exact"/>
        <w:ind w:firstLine="500"/>
        <w:jc w:val="both"/>
        <w:rPr>
          <w:rFonts w:ascii="宋体" w:hAnsi="宋体" w:eastAsia="宋体" w:cs="Times New Roman"/>
          <w:color w:val="auto"/>
          <w:sz w:val="21"/>
          <w:szCs w:val="21"/>
        </w:rPr>
      </w:pPr>
      <w:r>
        <w:rPr>
          <w:rFonts w:ascii="宋体" w:hAnsi="宋体" w:eastAsia="宋体" w:cs="宋体"/>
          <w:color w:val="auto"/>
          <w:sz w:val="21"/>
          <w:szCs w:val="21"/>
        </w:rPr>
        <w:t>6.1.2</w:t>
      </w:r>
      <w:r>
        <w:rPr>
          <w:rFonts w:hint="eastAsia" w:ascii="宋体" w:hAnsi="宋体" w:eastAsia="宋体" w:cs="宋体"/>
          <w:color w:val="auto"/>
          <w:sz w:val="21"/>
          <w:szCs w:val="21"/>
        </w:rPr>
        <w:t>除专用合同条款另有约定外，因发包人原因造成合同签订之日起</w:t>
      </w:r>
      <w:r>
        <w:rPr>
          <w:rFonts w:ascii="宋体" w:hAnsi="宋体" w:eastAsia="宋体" w:cs="宋体"/>
          <w:color w:val="auto"/>
          <w:sz w:val="21"/>
          <w:szCs w:val="21"/>
        </w:rPr>
        <w:t>90</w:t>
      </w:r>
      <w:r>
        <w:rPr>
          <w:rFonts w:hint="eastAsia" w:ascii="宋体" w:hAnsi="宋体" w:eastAsia="宋体" w:cs="宋体"/>
          <w:color w:val="auto"/>
          <w:sz w:val="21"/>
          <w:szCs w:val="21"/>
        </w:rPr>
        <w:t>天内未能发出开始勘察通知的，勘察人有权提出价格调整要求，或者解除合同。发包人应承担由此增加的费用和（或）周期延误。</w:t>
      </w:r>
    </w:p>
    <w:p>
      <w:pPr>
        <w:pStyle w:val="60"/>
        <w:shd w:val="clear" w:color="auto" w:fill="auto"/>
        <w:spacing w:before="0" w:after="0" w:line="480" w:lineRule="exact"/>
        <w:ind w:firstLine="500"/>
        <w:jc w:val="both"/>
        <w:rPr>
          <w:rFonts w:ascii="宋体" w:hAnsi="宋体" w:eastAsia="宋体" w:cs="Times New Roman"/>
          <w:color w:val="auto"/>
          <w:sz w:val="21"/>
          <w:szCs w:val="21"/>
        </w:rPr>
      </w:pPr>
      <w:r>
        <w:rPr>
          <w:rFonts w:ascii="宋体" w:hAnsi="宋体" w:eastAsia="宋体" w:cs="宋体"/>
          <w:color w:val="auto"/>
          <w:sz w:val="21"/>
          <w:szCs w:val="21"/>
        </w:rPr>
        <w:t>6.1.3</w:t>
      </w:r>
      <w:r>
        <w:rPr>
          <w:rFonts w:hint="eastAsia" w:ascii="宋体" w:hAnsi="宋体" w:eastAsia="宋体" w:cs="宋体"/>
          <w:color w:val="auto"/>
          <w:sz w:val="21"/>
          <w:szCs w:val="21"/>
        </w:rPr>
        <w:t>勘察人应在接到中标通知书后</w:t>
      </w:r>
      <w:r>
        <w:rPr>
          <w:rFonts w:ascii="宋体" w:hAnsi="宋体" w:eastAsia="宋体" w:cs="宋体"/>
          <w:color w:val="auto"/>
          <w:sz w:val="21"/>
          <w:szCs w:val="21"/>
        </w:rPr>
        <w:t>14</w:t>
      </w:r>
      <w:r>
        <w:rPr>
          <w:rFonts w:hint="eastAsia" w:ascii="宋体" w:hAnsi="宋体" w:eastAsia="宋体" w:cs="宋体"/>
          <w:color w:val="auto"/>
          <w:sz w:val="21"/>
          <w:szCs w:val="21"/>
        </w:rPr>
        <w:t>天内，针对勘察各个阶段工作内容向发包人提交具有可实施性、分项目的勘察详细工作大纲及进度计划，以及为完成本计划而建议采用的措施和说明（含电子文件一份），经批准后作为勘察合同文件的组成部分，是发包人对勘察进行项目管理的依据之一。</w:t>
      </w:r>
    </w:p>
    <w:p>
      <w:pPr>
        <w:pStyle w:val="60"/>
        <w:shd w:val="clear" w:color="auto" w:fill="auto"/>
        <w:spacing w:before="0" w:after="0" w:line="480" w:lineRule="exact"/>
        <w:ind w:firstLine="500"/>
        <w:jc w:val="both"/>
        <w:rPr>
          <w:rFonts w:ascii="宋体" w:hAnsi="宋体" w:eastAsia="宋体" w:cs="Times New Roman"/>
          <w:color w:val="auto"/>
          <w:sz w:val="21"/>
          <w:szCs w:val="21"/>
        </w:rPr>
      </w:pPr>
      <w:r>
        <w:rPr>
          <w:rFonts w:ascii="宋体" w:hAnsi="宋体" w:eastAsia="宋体" w:cs="宋体"/>
          <w:color w:val="auto"/>
          <w:sz w:val="21"/>
          <w:szCs w:val="21"/>
        </w:rPr>
        <w:t>6.1.4</w:t>
      </w:r>
      <w:r>
        <w:rPr>
          <w:rFonts w:hint="eastAsia" w:ascii="宋体" w:hAnsi="宋体" w:eastAsia="宋体" w:cs="宋体"/>
          <w:color w:val="auto"/>
          <w:sz w:val="21"/>
          <w:szCs w:val="21"/>
        </w:rPr>
        <w:t>勘察人在开展专题研究之前，应针对专题研究的具体内容提交详细的工作大纲（含电子文件一份），报发包人审核后实施，并作为勘察合同文件的组成部分。</w:t>
      </w:r>
    </w:p>
    <w:p>
      <w:pPr>
        <w:pStyle w:val="60"/>
        <w:shd w:val="clear" w:color="auto" w:fill="auto"/>
        <w:spacing w:before="0" w:after="0" w:line="480" w:lineRule="exact"/>
        <w:ind w:firstLine="500"/>
        <w:jc w:val="both"/>
        <w:rPr>
          <w:rFonts w:ascii="宋体" w:hAnsi="宋体" w:eastAsia="宋体" w:cs="Times New Roman"/>
          <w:color w:val="auto"/>
          <w:sz w:val="21"/>
          <w:szCs w:val="21"/>
        </w:rPr>
      </w:pPr>
      <w:r>
        <w:rPr>
          <w:rFonts w:ascii="宋体" w:hAnsi="宋体" w:eastAsia="宋体" w:cs="宋体"/>
          <w:color w:val="auto"/>
          <w:sz w:val="21"/>
          <w:szCs w:val="21"/>
        </w:rPr>
        <w:t>6.1.5</w:t>
      </w:r>
      <w:r>
        <w:rPr>
          <w:rFonts w:hint="eastAsia" w:ascii="宋体" w:hAnsi="宋体" w:eastAsia="宋体" w:cs="宋体"/>
          <w:color w:val="auto"/>
          <w:sz w:val="21"/>
          <w:szCs w:val="21"/>
        </w:rPr>
        <w:t>发包人对勘察人勘察详细工作大纲及进度计划、专题研究详细工作大纲的审查，并不免除勘察人对本项目勘察（含专题研究）应承担的责任。</w:t>
      </w:r>
    </w:p>
    <w:p>
      <w:pPr>
        <w:pStyle w:val="60"/>
        <w:shd w:val="clear" w:color="auto" w:fill="auto"/>
        <w:spacing w:before="0" w:after="0" w:line="480" w:lineRule="exact"/>
        <w:ind w:firstLine="500"/>
        <w:jc w:val="both"/>
        <w:rPr>
          <w:rFonts w:ascii="宋体" w:hAnsi="宋体" w:eastAsia="宋体" w:cs="Times New Roman"/>
          <w:color w:val="auto"/>
          <w:sz w:val="21"/>
          <w:szCs w:val="21"/>
        </w:rPr>
      </w:pPr>
      <w:r>
        <w:rPr>
          <w:rFonts w:ascii="宋体" w:hAnsi="宋体" w:eastAsia="宋体" w:cs="宋体"/>
          <w:color w:val="auto"/>
          <w:sz w:val="21"/>
          <w:szCs w:val="21"/>
        </w:rPr>
        <w:t>6.1.6</w:t>
      </w:r>
      <w:r>
        <w:rPr>
          <w:rFonts w:hint="eastAsia" w:ascii="宋体" w:hAnsi="宋体" w:eastAsia="宋体" w:cs="宋体"/>
          <w:color w:val="auto"/>
          <w:sz w:val="21"/>
          <w:szCs w:val="21"/>
        </w:rPr>
        <w:t>勘察人应在每月月底向发包人提供进度报告，说明该月工作进展情况及下月计划安排，并根据发包人要求，参加发包人组织的月度工作例会。</w:t>
      </w:r>
    </w:p>
    <w:p>
      <w:pPr>
        <w:pStyle w:val="64"/>
        <w:keepNext/>
        <w:keepLines/>
        <w:shd w:val="clear" w:color="auto" w:fill="auto"/>
        <w:spacing w:line="480" w:lineRule="exact"/>
        <w:ind w:firstLine="500"/>
        <w:rPr>
          <w:rFonts w:ascii="宋体" w:hAnsi="宋体" w:eastAsia="宋体" w:cs="Times New Roman"/>
          <w:color w:val="auto"/>
          <w:sz w:val="21"/>
          <w:szCs w:val="21"/>
        </w:rPr>
      </w:pPr>
      <w:bookmarkStart w:id="34" w:name="bookmark128"/>
      <w:r>
        <w:rPr>
          <w:rFonts w:ascii="宋体" w:hAnsi="宋体" w:eastAsia="宋体" w:cs="宋体"/>
          <w:color w:val="auto"/>
          <w:sz w:val="21"/>
          <w:szCs w:val="21"/>
        </w:rPr>
        <w:t>6.2</w:t>
      </w:r>
      <w:r>
        <w:rPr>
          <w:rFonts w:hint="eastAsia" w:ascii="宋体" w:hAnsi="宋体" w:eastAsia="宋体" w:cs="宋体"/>
          <w:color w:val="auto"/>
          <w:sz w:val="21"/>
          <w:szCs w:val="21"/>
        </w:rPr>
        <w:t>发包人引起的周期延误</w:t>
      </w:r>
      <w:bookmarkEnd w:id="34"/>
    </w:p>
    <w:p>
      <w:pPr>
        <w:pStyle w:val="60"/>
        <w:shd w:val="clear" w:color="auto" w:fill="auto"/>
        <w:spacing w:before="0" w:after="0" w:line="480" w:lineRule="exact"/>
        <w:ind w:firstLine="500"/>
        <w:jc w:val="both"/>
        <w:rPr>
          <w:rFonts w:ascii="宋体" w:hAnsi="宋体" w:eastAsia="宋体" w:cs="Times New Roman"/>
          <w:color w:val="auto"/>
          <w:sz w:val="21"/>
          <w:szCs w:val="21"/>
        </w:rPr>
      </w:pPr>
      <w:r>
        <w:rPr>
          <w:rFonts w:hint="eastAsia" w:ascii="宋体" w:hAnsi="宋体" w:eastAsia="宋体" w:cs="宋体"/>
          <w:color w:val="auto"/>
          <w:sz w:val="21"/>
          <w:szCs w:val="21"/>
        </w:rPr>
        <w:t>在履行合同过程中，由于发包人的下列原因造成勘察服务期限延误的，发包人应延长勘察服务期限并增加勘察费用，具体方法在专用合同条款中约定。</w:t>
      </w:r>
    </w:p>
    <w:p>
      <w:pPr>
        <w:pStyle w:val="60"/>
        <w:shd w:val="clear" w:color="auto" w:fill="auto"/>
        <w:tabs>
          <w:tab w:val="left" w:pos="1166"/>
        </w:tabs>
        <w:spacing w:before="0" w:after="0" w:line="480" w:lineRule="exact"/>
        <w:ind w:left="640" w:firstLine="0"/>
        <w:jc w:val="both"/>
        <w:rPr>
          <w:rFonts w:ascii="宋体" w:hAnsi="宋体" w:eastAsia="宋体" w:cs="Times New Roman"/>
          <w:color w:val="auto"/>
          <w:sz w:val="21"/>
          <w:szCs w:val="21"/>
        </w:rPr>
      </w:pPr>
      <w:r>
        <w:rPr>
          <w:rFonts w:hint="eastAsia" w:ascii="宋体" w:hAnsi="宋体" w:eastAsia="宋体" w:cs="宋体"/>
          <w:color w:val="auto"/>
          <w:sz w:val="21"/>
          <w:szCs w:val="21"/>
        </w:rPr>
        <w:t>（</w:t>
      </w:r>
      <w:r>
        <w:rPr>
          <w:rFonts w:ascii="宋体" w:hAnsi="宋体" w:eastAsia="宋体" w:cs="宋体"/>
          <w:color w:val="auto"/>
          <w:sz w:val="21"/>
          <w:szCs w:val="21"/>
        </w:rPr>
        <w:t>1</w:t>
      </w:r>
      <w:r>
        <w:rPr>
          <w:rFonts w:hint="eastAsia" w:ascii="宋体" w:hAnsi="宋体" w:eastAsia="宋体" w:cs="宋体"/>
          <w:color w:val="auto"/>
          <w:sz w:val="21"/>
          <w:szCs w:val="21"/>
        </w:rPr>
        <w:t>）</w:t>
      </w:r>
      <w:r>
        <w:rPr>
          <w:rFonts w:ascii="宋体" w:hAnsi="宋体" w:eastAsia="宋体" w:cs="Times New Roman"/>
          <w:color w:val="auto"/>
          <w:sz w:val="21"/>
          <w:szCs w:val="21"/>
        </w:rPr>
        <w:tab/>
      </w:r>
      <w:r>
        <w:rPr>
          <w:rFonts w:hint="eastAsia" w:ascii="宋体" w:hAnsi="宋体" w:eastAsia="宋体" w:cs="宋体"/>
          <w:color w:val="auto"/>
          <w:sz w:val="21"/>
          <w:szCs w:val="21"/>
        </w:rPr>
        <w:t>合同变更；</w:t>
      </w:r>
    </w:p>
    <w:p>
      <w:pPr>
        <w:pStyle w:val="60"/>
        <w:shd w:val="clear" w:color="auto" w:fill="auto"/>
        <w:tabs>
          <w:tab w:val="left" w:pos="1166"/>
        </w:tabs>
        <w:spacing w:before="0" w:after="0" w:line="480" w:lineRule="exact"/>
        <w:ind w:left="640" w:firstLine="0"/>
        <w:jc w:val="both"/>
        <w:rPr>
          <w:rFonts w:ascii="宋体" w:hAnsi="宋体" w:eastAsia="宋体" w:cs="Times New Roman"/>
          <w:color w:val="auto"/>
          <w:sz w:val="21"/>
          <w:szCs w:val="21"/>
        </w:rPr>
      </w:pPr>
      <w:r>
        <w:rPr>
          <w:rFonts w:hint="eastAsia" w:ascii="宋体" w:hAnsi="宋体" w:eastAsia="宋体" w:cs="宋体"/>
          <w:color w:val="auto"/>
          <w:sz w:val="21"/>
          <w:szCs w:val="21"/>
        </w:rPr>
        <w:t>（</w:t>
      </w:r>
      <w:r>
        <w:rPr>
          <w:rFonts w:ascii="宋体" w:hAnsi="宋体" w:eastAsia="宋体" w:cs="宋体"/>
          <w:color w:val="auto"/>
          <w:sz w:val="21"/>
          <w:szCs w:val="21"/>
        </w:rPr>
        <w:t>2</w:t>
      </w:r>
      <w:r>
        <w:rPr>
          <w:rFonts w:hint="eastAsia" w:ascii="宋体" w:hAnsi="宋体" w:eastAsia="宋体" w:cs="宋体"/>
          <w:color w:val="auto"/>
          <w:sz w:val="21"/>
          <w:szCs w:val="21"/>
        </w:rPr>
        <w:t>）</w:t>
      </w:r>
      <w:r>
        <w:rPr>
          <w:rFonts w:ascii="宋体" w:hAnsi="宋体" w:eastAsia="宋体" w:cs="Times New Roman"/>
          <w:color w:val="auto"/>
          <w:sz w:val="21"/>
          <w:szCs w:val="21"/>
        </w:rPr>
        <w:tab/>
      </w:r>
      <w:r>
        <w:rPr>
          <w:rFonts w:hint="eastAsia" w:ascii="宋体" w:hAnsi="宋体" w:eastAsia="宋体" w:cs="宋体"/>
          <w:color w:val="auto"/>
          <w:sz w:val="21"/>
          <w:szCs w:val="21"/>
        </w:rPr>
        <w:t>未按合同约定期限及时答复勘察事项；</w:t>
      </w:r>
    </w:p>
    <w:p>
      <w:pPr>
        <w:pStyle w:val="60"/>
        <w:numPr>
          <w:ilvl w:val="0"/>
          <w:numId w:val="11"/>
        </w:numPr>
        <w:shd w:val="clear" w:color="auto" w:fill="auto"/>
        <w:tabs>
          <w:tab w:val="left" w:pos="1089"/>
        </w:tabs>
        <w:spacing w:before="0" w:after="0" w:line="480" w:lineRule="exact"/>
        <w:ind w:firstLine="720"/>
        <w:jc w:val="both"/>
        <w:rPr>
          <w:rFonts w:ascii="宋体" w:hAnsi="宋体" w:eastAsia="宋体" w:cs="Times New Roman"/>
          <w:color w:val="auto"/>
          <w:sz w:val="21"/>
          <w:szCs w:val="21"/>
        </w:rPr>
      </w:pPr>
      <w:r>
        <w:rPr>
          <w:rFonts w:hint="eastAsia" w:ascii="宋体" w:hAnsi="宋体" w:eastAsia="宋体" w:cs="宋体"/>
          <w:color w:val="auto"/>
          <w:sz w:val="21"/>
          <w:szCs w:val="21"/>
        </w:rPr>
        <w:t>因发包人原因导致的暂停勘察；</w:t>
      </w:r>
    </w:p>
    <w:p>
      <w:pPr>
        <w:pStyle w:val="60"/>
        <w:numPr>
          <w:ilvl w:val="0"/>
          <w:numId w:val="11"/>
        </w:numPr>
        <w:shd w:val="clear" w:color="auto" w:fill="auto"/>
        <w:tabs>
          <w:tab w:val="left" w:pos="1089"/>
        </w:tabs>
        <w:spacing w:before="0" w:after="0" w:line="480" w:lineRule="exact"/>
        <w:ind w:firstLine="720"/>
        <w:jc w:val="both"/>
        <w:rPr>
          <w:rFonts w:ascii="宋体" w:hAnsi="宋体" w:eastAsia="宋体" w:cs="Times New Roman"/>
          <w:color w:val="auto"/>
          <w:sz w:val="21"/>
          <w:szCs w:val="21"/>
        </w:rPr>
      </w:pPr>
      <w:r>
        <w:rPr>
          <w:rFonts w:hint="eastAsia" w:ascii="宋体" w:hAnsi="宋体" w:eastAsia="宋体" w:cs="宋体"/>
          <w:color w:val="auto"/>
          <w:sz w:val="21"/>
          <w:szCs w:val="21"/>
        </w:rPr>
        <w:t>未按合同约定及时支付勘察费用；</w:t>
      </w:r>
    </w:p>
    <w:p>
      <w:pPr>
        <w:pStyle w:val="60"/>
        <w:numPr>
          <w:ilvl w:val="0"/>
          <w:numId w:val="11"/>
        </w:numPr>
        <w:shd w:val="clear" w:color="auto" w:fill="auto"/>
        <w:tabs>
          <w:tab w:val="left" w:pos="1089"/>
        </w:tabs>
        <w:spacing w:before="0" w:after="0" w:line="480" w:lineRule="exact"/>
        <w:ind w:firstLine="720"/>
        <w:jc w:val="both"/>
        <w:rPr>
          <w:rFonts w:ascii="宋体" w:hAnsi="宋体" w:eastAsia="宋体" w:cs="Times New Roman"/>
          <w:color w:val="auto"/>
          <w:sz w:val="21"/>
          <w:szCs w:val="21"/>
        </w:rPr>
      </w:pPr>
      <w:r>
        <w:rPr>
          <w:rFonts w:hint="eastAsia" w:ascii="宋体" w:hAnsi="宋体" w:eastAsia="宋体" w:cs="宋体"/>
          <w:color w:val="auto"/>
          <w:sz w:val="21"/>
          <w:szCs w:val="21"/>
        </w:rPr>
        <w:t>发包人提供的基准资料错误；</w:t>
      </w:r>
    </w:p>
    <w:p>
      <w:pPr>
        <w:pStyle w:val="60"/>
        <w:numPr>
          <w:ilvl w:val="0"/>
          <w:numId w:val="11"/>
        </w:numPr>
        <w:shd w:val="clear" w:color="auto" w:fill="auto"/>
        <w:tabs>
          <w:tab w:val="left" w:pos="1089"/>
        </w:tabs>
        <w:spacing w:before="0" w:after="0" w:line="480" w:lineRule="exact"/>
        <w:ind w:firstLine="720"/>
        <w:jc w:val="both"/>
        <w:rPr>
          <w:rFonts w:ascii="宋体" w:hAnsi="宋体" w:eastAsia="宋体" w:cs="Times New Roman"/>
          <w:color w:val="auto"/>
          <w:sz w:val="21"/>
          <w:szCs w:val="21"/>
        </w:rPr>
      </w:pPr>
      <w:r>
        <w:rPr>
          <w:rFonts w:hint="eastAsia" w:ascii="宋体" w:hAnsi="宋体" w:eastAsia="宋体" w:cs="宋体"/>
          <w:color w:val="auto"/>
          <w:sz w:val="21"/>
          <w:szCs w:val="21"/>
        </w:rPr>
        <w:t>未及时履行合同约定的相关义务；</w:t>
      </w:r>
    </w:p>
    <w:p>
      <w:pPr>
        <w:pStyle w:val="60"/>
        <w:numPr>
          <w:ilvl w:val="0"/>
          <w:numId w:val="11"/>
        </w:numPr>
        <w:shd w:val="clear" w:color="auto" w:fill="auto"/>
        <w:tabs>
          <w:tab w:val="left" w:pos="1089"/>
        </w:tabs>
        <w:spacing w:before="0" w:after="0" w:line="480" w:lineRule="exact"/>
        <w:ind w:firstLine="720"/>
        <w:jc w:val="both"/>
        <w:rPr>
          <w:rFonts w:ascii="宋体" w:hAnsi="宋体" w:eastAsia="宋体" w:cs="Times New Roman"/>
          <w:color w:val="auto"/>
          <w:sz w:val="21"/>
          <w:szCs w:val="21"/>
        </w:rPr>
      </w:pPr>
      <w:r>
        <w:rPr>
          <w:rFonts w:hint="eastAsia" w:ascii="宋体" w:hAnsi="宋体" w:eastAsia="宋体" w:cs="宋体"/>
          <w:color w:val="auto"/>
          <w:sz w:val="21"/>
          <w:szCs w:val="21"/>
        </w:rPr>
        <w:t>未能按照合同约定期限对勘察文件进行审查；</w:t>
      </w:r>
    </w:p>
    <w:p>
      <w:pPr>
        <w:pStyle w:val="60"/>
        <w:numPr>
          <w:ilvl w:val="0"/>
          <w:numId w:val="11"/>
        </w:numPr>
        <w:shd w:val="clear" w:color="auto" w:fill="auto"/>
        <w:tabs>
          <w:tab w:val="left" w:pos="1089"/>
        </w:tabs>
        <w:spacing w:before="0" w:after="0" w:line="480" w:lineRule="exact"/>
        <w:ind w:firstLine="560"/>
        <w:jc w:val="both"/>
        <w:rPr>
          <w:rFonts w:ascii="宋体" w:hAnsi="宋体" w:eastAsia="宋体" w:cs="Times New Roman"/>
          <w:color w:val="auto"/>
          <w:sz w:val="21"/>
          <w:szCs w:val="21"/>
        </w:rPr>
      </w:pPr>
      <w:r>
        <w:rPr>
          <w:rFonts w:hint="eastAsia" w:ascii="宋体" w:hAnsi="宋体" w:eastAsia="宋体" w:cs="宋体"/>
          <w:color w:val="auto"/>
          <w:sz w:val="21"/>
          <w:szCs w:val="21"/>
        </w:rPr>
        <w:t>发包人造成周期延误的其他原因。</w:t>
      </w:r>
    </w:p>
    <w:p>
      <w:pPr>
        <w:pStyle w:val="64"/>
        <w:keepNext/>
        <w:keepLines/>
        <w:shd w:val="clear" w:color="auto" w:fill="auto"/>
        <w:spacing w:line="480" w:lineRule="exact"/>
        <w:ind w:firstLine="560"/>
        <w:rPr>
          <w:rFonts w:ascii="宋体" w:hAnsi="宋体" w:eastAsia="宋体" w:cs="Times New Roman"/>
          <w:color w:val="auto"/>
          <w:sz w:val="21"/>
          <w:szCs w:val="21"/>
        </w:rPr>
      </w:pPr>
      <w:bookmarkStart w:id="35" w:name="bookmark129"/>
      <w:r>
        <w:rPr>
          <w:rFonts w:ascii="宋体" w:hAnsi="宋体" w:eastAsia="宋体" w:cs="宋体"/>
          <w:color w:val="auto"/>
          <w:sz w:val="21"/>
          <w:szCs w:val="21"/>
        </w:rPr>
        <w:t>6.3</w:t>
      </w:r>
      <w:r>
        <w:rPr>
          <w:rFonts w:hint="eastAsia" w:ascii="宋体" w:hAnsi="宋体" w:eastAsia="宋体" w:cs="宋体"/>
          <w:color w:val="auto"/>
          <w:sz w:val="21"/>
          <w:szCs w:val="21"/>
        </w:rPr>
        <w:t>勘察人引起的周期延误</w:t>
      </w:r>
      <w:bookmarkEnd w:id="35"/>
    </w:p>
    <w:p>
      <w:pPr>
        <w:pStyle w:val="60"/>
        <w:shd w:val="clear" w:color="auto" w:fill="auto"/>
        <w:spacing w:before="0" w:after="0" w:line="480" w:lineRule="exact"/>
        <w:ind w:firstLine="560"/>
        <w:jc w:val="both"/>
        <w:rPr>
          <w:rFonts w:ascii="宋体" w:hAnsi="宋体" w:eastAsia="宋体" w:cs="Times New Roman"/>
          <w:color w:val="auto"/>
          <w:sz w:val="21"/>
          <w:szCs w:val="21"/>
        </w:rPr>
      </w:pPr>
      <w:r>
        <w:rPr>
          <w:rFonts w:hint="eastAsia" w:ascii="宋体" w:hAnsi="宋体" w:eastAsia="宋体" w:cs="宋体"/>
          <w:color w:val="auto"/>
          <w:sz w:val="21"/>
          <w:szCs w:val="21"/>
        </w:rPr>
        <w:t>由于勘察人原因造成周期延误，勘察人应支付逾期违约金。逾期违约金的计算方法和最高限额在专用合同条款中约定。</w:t>
      </w:r>
    </w:p>
    <w:p>
      <w:pPr>
        <w:pStyle w:val="64"/>
        <w:keepNext/>
        <w:keepLines/>
        <w:shd w:val="clear" w:color="auto" w:fill="auto"/>
        <w:spacing w:line="480" w:lineRule="exact"/>
        <w:ind w:firstLine="560"/>
        <w:rPr>
          <w:rFonts w:ascii="宋体" w:hAnsi="宋体" w:eastAsia="宋体" w:cs="Times New Roman"/>
          <w:color w:val="auto"/>
          <w:sz w:val="21"/>
          <w:szCs w:val="21"/>
        </w:rPr>
      </w:pPr>
      <w:bookmarkStart w:id="36" w:name="bookmark130"/>
      <w:r>
        <w:rPr>
          <w:rFonts w:ascii="宋体" w:hAnsi="宋体" w:eastAsia="宋体" w:cs="宋体"/>
          <w:color w:val="auto"/>
          <w:sz w:val="21"/>
          <w:szCs w:val="21"/>
        </w:rPr>
        <w:t>6.4</w:t>
      </w:r>
      <w:r>
        <w:rPr>
          <w:rFonts w:hint="eastAsia" w:ascii="宋体" w:hAnsi="宋体" w:eastAsia="宋体" w:cs="宋体"/>
          <w:color w:val="auto"/>
          <w:sz w:val="21"/>
          <w:szCs w:val="21"/>
        </w:rPr>
        <w:t>行政管理部门引起的周期延误</w:t>
      </w:r>
      <w:bookmarkEnd w:id="36"/>
    </w:p>
    <w:p>
      <w:pPr>
        <w:pStyle w:val="60"/>
        <w:shd w:val="clear" w:color="auto" w:fill="auto"/>
        <w:spacing w:before="0" w:after="0" w:line="480" w:lineRule="exact"/>
        <w:ind w:firstLine="560"/>
        <w:jc w:val="both"/>
        <w:rPr>
          <w:rFonts w:ascii="宋体" w:hAnsi="宋体" w:eastAsia="宋体" w:cs="Times New Roman"/>
          <w:color w:val="auto"/>
          <w:sz w:val="21"/>
          <w:szCs w:val="21"/>
        </w:rPr>
      </w:pPr>
      <w:r>
        <w:rPr>
          <w:rFonts w:hint="eastAsia" w:ascii="宋体" w:hAnsi="宋体" w:eastAsia="宋体" w:cs="宋体"/>
          <w:color w:val="auto"/>
          <w:sz w:val="21"/>
          <w:szCs w:val="21"/>
        </w:rPr>
        <w:t>由于行政管理部门审查延迟原因造成费用增加和</w:t>
      </w:r>
      <w:r>
        <w:rPr>
          <w:rFonts w:ascii="宋体" w:hAnsi="宋体" w:eastAsia="宋体" w:cs="宋体"/>
          <w:color w:val="auto"/>
          <w:sz w:val="21"/>
          <w:szCs w:val="21"/>
        </w:rPr>
        <w:t>(</w:t>
      </w:r>
      <w:r>
        <w:rPr>
          <w:rFonts w:hint="eastAsia" w:ascii="宋体" w:hAnsi="宋体" w:eastAsia="宋体" w:cs="宋体"/>
          <w:color w:val="auto"/>
          <w:sz w:val="21"/>
          <w:szCs w:val="21"/>
        </w:rPr>
        <w:t>或</w:t>
      </w:r>
      <w:r>
        <w:rPr>
          <w:rFonts w:ascii="宋体" w:hAnsi="宋体" w:eastAsia="宋体" w:cs="宋体"/>
          <w:color w:val="auto"/>
          <w:sz w:val="21"/>
          <w:szCs w:val="21"/>
        </w:rPr>
        <w:t>)</w:t>
      </w:r>
      <w:r>
        <w:rPr>
          <w:rFonts w:hint="eastAsia" w:ascii="宋体" w:hAnsi="宋体" w:eastAsia="宋体" w:cs="宋体"/>
          <w:color w:val="auto"/>
          <w:sz w:val="21"/>
          <w:szCs w:val="21"/>
        </w:rPr>
        <w:t>周期延误的，由发包人承担。</w:t>
      </w:r>
    </w:p>
    <w:p>
      <w:pPr>
        <w:pStyle w:val="64"/>
        <w:keepNext/>
        <w:keepLines/>
        <w:shd w:val="clear" w:color="auto" w:fill="auto"/>
        <w:spacing w:line="480" w:lineRule="exact"/>
        <w:ind w:firstLine="560"/>
        <w:rPr>
          <w:rFonts w:ascii="宋体" w:hAnsi="宋体" w:eastAsia="宋体" w:cs="Times New Roman"/>
          <w:color w:val="auto"/>
          <w:sz w:val="21"/>
          <w:szCs w:val="21"/>
        </w:rPr>
      </w:pPr>
      <w:bookmarkStart w:id="37" w:name="bookmark131"/>
      <w:r>
        <w:rPr>
          <w:rFonts w:ascii="宋体" w:hAnsi="宋体" w:eastAsia="宋体" w:cs="宋体"/>
          <w:color w:val="auto"/>
          <w:sz w:val="21"/>
          <w:szCs w:val="21"/>
        </w:rPr>
        <w:t>6.5</w:t>
      </w:r>
      <w:r>
        <w:rPr>
          <w:rFonts w:hint="eastAsia" w:ascii="宋体" w:hAnsi="宋体" w:eastAsia="宋体" w:cs="宋体"/>
          <w:color w:val="auto"/>
          <w:sz w:val="21"/>
          <w:szCs w:val="21"/>
        </w:rPr>
        <w:t>非人为因素引起的周期延误</w:t>
      </w:r>
      <w:bookmarkEnd w:id="37"/>
    </w:p>
    <w:p>
      <w:pPr>
        <w:pStyle w:val="60"/>
        <w:shd w:val="clear" w:color="auto" w:fill="auto"/>
        <w:spacing w:before="0" w:after="0" w:line="480" w:lineRule="exact"/>
        <w:ind w:firstLine="560"/>
        <w:jc w:val="both"/>
        <w:rPr>
          <w:rFonts w:ascii="宋体" w:hAnsi="宋体" w:eastAsia="宋体" w:cs="Times New Roman"/>
          <w:color w:val="auto"/>
          <w:sz w:val="21"/>
          <w:szCs w:val="21"/>
        </w:rPr>
      </w:pPr>
      <w:r>
        <w:rPr>
          <w:rFonts w:ascii="宋体" w:hAnsi="宋体" w:eastAsia="宋体" w:cs="宋体"/>
          <w:color w:val="auto"/>
          <w:sz w:val="21"/>
          <w:szCs w:val="21"/>
        </w:rPr>
        <w:t>6.5.1</w:t>
      </w:r>
      <w:r>
        <w:rPr>
          <w:rFonts w:hint="eastAsia" w:ascii="宋体" w:hAnsi="宋体" w:eastAsia="宋体" w:cs="宋体"/>
          <w:color w:val="auto"/>
          <w:sz w:val="21"/>
          <w:szCs w:val="21"/>
        </w:rPr>
        <w:t>由于出现专用合同条款规定的异常恶劣气候条件、不利物质条件等因素导致周期延误的，勘察人有权要求发包人延长周期和</w:t>
      </w:r>
      <w:r>
        <w:rPr>
          <w:rFonts w:ascii="宋体" w:hAnsi="宋体" w:eastAsia="宋体" w:cs="宋体"/>
          <w:color w:val="auto"/>
          <w:sz w:val="21"/>
          <w:szCs w:val="21"/>
        </w:rPr>
        <w:t>(</w:t>
      </w:r>
      <w:r>
        <w:rPr>
          <w:rFonts w:hint="eastAsia" w:ascii="宋体" w:hAnsi="宋体" w:eastAsia="宋体" w:cs="宋体"/>
          <w:color w:val="auto"/>
          <w:sz w:val="21"/>
          <w:szCs w:val="21"/>
        </w:rPr>
        <w:t>或</w:t>
      </w:r>
      <w:r>
        <w:rPr>
          <w:rFonts w:ascii="宋体" w:hAnsi="宋体" w:eastAsia="宋体" w:cs="宋体"/>
          <w:color w:val="auto"/>
          <w:sz w:val="21"/>
          <w:szCs w:val="21"/>
        </w:rPr>
        <w:t>)</w:t>
      </w:r>
      <w:r>
        <w:rPr>
          <w:rFonts w:hint="eastAsia" w:ascii="宋体" w:hAnsi="宋体" w:eastAsia="宋体" w:cs="宋体"/>
          <w:color w:val="auto"/>
          <w:sz w:val="21"/>
          <w:szCs w:val="21"/>
        </w:rPr>
        <w:t>增加费用。</w:t>
      </w:r>
    </w:p>
    <w:p>
      <w:pPr>
        <w:pStyle w:val="60"/>
        <w:shd w:val="clear" w:color="auto" w:fill="auto"/>
        <w:spacing w:before="0" w:after="0" w:line="480" w:lineRule="exact"/>
        <w:ind w:firstLine="560"/>
        <w:jc w:val="both"/>
        <w:rPr>
          <w:rFonts w:ascii="宋体" w:hAnsi="宋体" w:eastAsia="宋体" w:cs="Times New Roman"/>
          <w:color w:val="auto"/>
          <w:sz w:val="21"/>
          <w:szCs w:val="21"/>
        </w:rPr>
      </w:pPr>
      <w:r>
        <w:rPr>
          <w:rFonts w:ascii="宋体" w:hAnsi="宋体" w:eastAsia="宋体" w:cs="宋体"/>
          <w:color w:val="auto"/>
          <w:sz w:val="21"/>
          <w:szCs w:val="21"/>
        </w:rPr>
        <w:t>6.5.2</w:t>
      </w:r>
      <w:r>
        <w:rPr>
          <w:rFonts w:hint="eastAsia" w:ascii="宋体" w:hAnsi="宋体" w:eastAsia="宋体" w:cs="宋体"/>
          <w:color w:val="auto"/>
          <w:sz w:val="21"/>
          <w:szCs w:val="21"/>
        </w:rPr>
        <w:t>勘察人发现地下文物或化石时，应按规定及时报告发包人和文物部门，并采取有效措施进行保护；勘察人有权要求发包人延长周期和</w:t>
      </w:r>
      <w:r>
        <w:rPr>
          <w:rFonts w:ascii="宋体" w:hAnsi="宋体" w:eastAsia="宋体" w:cs="宋体"/>
          <w:color w:val="auto"/>
          <w:sz w:val="21"/>
          <w:szCs w:val="21"/>
        </w:rPr>
        <w:t>(</w:t>
      </w:r>
      <w:r>
        <w:rPr>
          <w:rFonts w:hint="eastAsia" w:ascii="宋体" w:hAnsi="宋体" w:eastAsia="宋体" w:cs="宋体"/>
          <w:color w:val="auto"/>
          <w:sz w:val="21"/>
          <w:szCs w:val="21"/>
        </w:rPr>
        <w:t>或</w:t>
      </w:r>
      <w:r>
        <w:rPr>
          <w:rFonts w:ascii="宋体" w:hAnsi="宋体" w:eastAsia="宋体" w:cs="宋体"/>
          <w:color w:val="auto"/>
          <w:sz w:val="21"/>
          <w:szCs w:val="21"/>
        </w:rPr>
        <w:t>)</w:t>
      </w:r>
      <w:r>
        <w:rPr>
          <w:rFonts w:hint="eastAsia" w:ascii="宋体" w:hAnsi="宋体" w:eastAsia="宋体" w:cs="宋体"/>
          <w:color w:val="auto"/>
          <w:sz w:val="21"/>
          <w:szCs w:val="21"/>
        </w:rPr>
        <w:t>增加费用。</w:t>
      </w:r>
    </w:p>
    <w:p>
      <w:pPr>
        <w:pStyle w:val="64"/>
        <w:keepNext/>
        <w:keepLines/>
        <w:shd w:val="clear" w:color="auto" w:fill="auto"/>
        <w:spacing w:line="480" w:lineRule="exact"/>
        <w:ind w:firstLine="560"/>
        <w:rPr>
          <w:rFonts w:ascii="宋体" w:hAnsi="宋体" w:eastAsia="宋体" w:cs="Times New Roman"/>
          <w:color w:val="auto"/>
          <w:sz w:val="21"/>
          <w:szCs w:val="21"/>
        </w:rPr>
      </w:pPr>
      <w:bookmarkStart w:id="38" w:name="bookmark132"/>
      <w:r>
        <w:rPr>
          <w:rFonts w:ascii="宋体" w:hAnsi="宋体" w:eastAsia="宋体" w:cs="宋体"/>
          <w:color w:val="auto"/>
          <w:sz w:val="21"/>
          <w:szCs w:val="21"/>
        </w:rPr>
        <w:t>6.6</w:t>
      </w:r>
      <w:r>
        <w:rPr>
          <w:rFonts w:hint="eastAsia" w:ascii="宋体" w:hAnsi="宋体" w:eastAsia="宋体" w:cs="宋体"/>
          <w:color w:val="auto"/>
          <w:sz w:val="21"/>
          <w:szCs w:val="21"/>
        </w:rPr>
        <w:t>完成勘察</w:t>
      </w:r>
      <w:bookmarkEnd w:id="38"/>
    </w:p>
    <w:p>
      <w:pPr>
        <w:pStyle w:val="60"/>
        <w:shd w:val="clear" w:color="auto" w:fill="auto"/>
        <w:spacing w:before="0" w:after="0" w:line="480" w:lineRule="exact"/>
        <w:ind w:firstLine="560"/>
        <w:jc w:val="both"/>
        <w:rPr>
          <w:rFonts w:ascii="宋体" w:hAnsi="宋体" w:eastAsia="宋体" w:cs="Times New Roman"/>
          <w:color w:val="auto"/>
          <w:sz w:val="21"/>
          <w:szCs w:val="21"/>
        </w:rPr>
      </w:pPr>
      <w:r>
        <w:rPr>
          <w:rFonts w:ascii="宋体" w:hAnsi="宋体" w:eastAsia="宋体" w:cs="宋体"/>
          <w:color w:val="auto"/>
          <w:sz w:val="21"/>
          <w:szCs w:val="21"/>
        </w:rPr>
        <w:t>6.6.1</w:t>
      </w:r>
      <w:r>
        <w:rPr>
          <w:rFonts w:hint="eastAsia" w:ascii="宋体" w:hAnsi="宋体" w:eastAsia="宋体" w:cs="宋体"/>
          <w:color w:val="auto"/>
          <w:sz w:val="21"/>
          <w:szCs w:val="21"/>
        </w:rPr>
        <w:t>勘察人完成勘察服务之后，应根据法律、规范标准、合同约定和发包人要求编制勘察文件。</w:t>
      </w:r>
    </w:p>
    <w:p>
      <w:pPr>
        <w:pStyle w:val="60"/>
        <w:shd w:val="clear" w:color="auto" w:fill="auto"/>
        <w:spacing w:before="0" w:after="0" w:line="480" w:lineRule="exact"/>
        <w:ind w:firstLine="560"/>
        <w:jc w:val="both"/>
        <w:rPr>
          <w:rFonts w:ascii="宋体" w:hAnsi="宋体" w:eastAsia="宋体" w:cs="Times New Roman"/>
          <w:color w:val="auto"/>
          <w:sz w:val="21"/>
          <w:szCs w:val="21"/>
        </w:rPr>
      </w:pPr>
      <w:r>
        <w:rPr>
          <w:rStyle w:val="67"/>
          <w:rFonts w:ascii="宋体" w:hAnsi="宋体" w:eastAsia="宋体" w:cs="宋体"/>
          <w:color w:val="auto"/>
          <w:sz w:val="21"/>
          <w:szCs w:val="21"/>
          <w:lang w:eastAsia="zh-CN"/>
        </w:rPr>
        <w:t>6</w:t>
      </w:r>
      <w:r>
        <w:rPr>
          <w:rStyle w:val="68"/>
          <w:rFonts w:ascii="宋体" w:hAnsi="宋体" w:eastAsia="宋体" w:cs="宋体"/>
          <w:color w:val="auto"/>
          <w:sz w:val="21"/>
          <w:szCs w:val="21"/>
          <w:lang w:eastAsia="zh-CN"/>
        </w:rPr>
        <w:t>.</w:t>
      </w:r>
      <w:r>
        <w:rPr>
          <w:rStyle w:val="67"/>
          <w:rFonts w:ascii="宋体" w:hAnsi="宋体" w:eastAsia="宋体" w:cs="宋体"/>
          <w:color w:val="auto"/>
          <w:sz w:val="21"/>
          <w:szCs w:val="21"/>
          <w:lang w:eastAsia="zh-CN"/>
        </w:rPr>
        <w:t>6.2</w:t>
      </w:r>
      <w:r>
        <w:rPr>
          <w:rFonts w:hint="eastAsia" w:ascii="宋体" w:hAnsi="宋体" w:eastAsia="宋体" w:cs="宋体"/>
          <w:color w:val="auto"/>
          <w:sz w:val="21"/>
          <w:szCs w:val="21"/>
        </w:rPr>
        <w:t>勘察文件是工程勘察的最终成果和施工的重要依据，应根据本工程的勘察内容和不同阶段的勘察任务、目的和要求等进行编制。勘察文件的内容和深度应满足对应阶段的规范要求。</w:t>
      </w:r>
    </w:p>
    <w:p>
      <w:pPr>
        <w:pStyle w:val="60"/>
        <w:shd w:val="clear" w:color="auto" w:fill="auto"/>
        <w:spacing w:before="0" w:after="0" w:line="480" w:lineRule="exact"/>
        <w:ind w:firstLine="560"/>
        <w:jc w:val="left"/>
        <w:rPr>
          <w:rFonts w:ascii="宋体" w:hAnsi="宋体" w:eastAsia="宋体" w:cs="Times New Roman"/>
          <w:color w:val="auto"/>
          <w:sz w:val="21"/>
          <w:szCs w:val="21"/>
        </w:rPr>
      </w:pPr>
      <w:r>
        <w:rPr>
          <w:rFonts w:ascii="宋体" w:hAnsi="宋体" w:eastAsia="宋体" w:cs="宋体"/>
          <w:color w:val="auto"/>
          <w:sz w:val="21"/>
          <w:szCs w:val="21"/>
        </w:rPr>
        <w:t>6.6.3</w:t>
      </w:r>
      <w:r>
        <w:rPr>
          <w:rFonts w:hint="eastAsia" w:ascii="宋体" w:hAnsi="宋体" w:eastAsia="宋体" w:cs="宋体"/>
          <w:color w:val="auto"/>
          <w:sz w:val="21"/>
          <w:szCs w:val="21"/>
        </w:rPr>
        <w:t>除专用合同条款另有约定外，勘察文件包括纸质文件和电子文件两种形式，两者若有不一致时，应以纸质文件为准。纸质文件一式八份，应加盖单位章和项目负责人注册执业印章；电子文件中的文字为</w:t>
      </w:r>
      <w:r>
        <w:rPr>
          <w:rStyle w:val="67"/>
          <w:rFonts w:ascii="宋体" w:hAnsi="宋体" w:eastAsia="宋体" w:cs="宋体"/>
          <w:color w:val="auto"/>
          <w:sz w:val="21"/>
          <w:szCs w:val="21"/>
          <w:lang w:eastAsia="zh-CN"/>
        </w:rPr>
        <w:t>WORD</w:t>
      </w:r>
      <w:r>
        <w:rPr>
          <w:rFonts w:hint="eastAsia" w:ascii="宋体" w:hAnsi="宋体" w:eastAsia="宋体" w:cs="宋体"/>
          <w:color w:val="auto"/>
          <w:sz w:val="21"/>
          <w:szCs w:val="21"/>
        </w:rPr>
        <w:t>格式、图形为</w:t>
      </w:r>
      <w:r>
        <w:rPr>
          <w:rStyle w:val="67"/>
          <w:rFonts w:ascii="宋体" w:hAnsi="宋体" w:eastAsia="宋体" w:cs="宋体"/>
          <w:color w:val="auto"/>
          <w:sz w:val="21"/>
          <w:szCs w:val="21"/>
          <w:lang w:eastAsia="zh-CN"/>
        </w:rPr>
        <w:t>CAD</w:t>
      </w:r>
      <w:r>
        <w:rPr>
          <w:rFonts w:hint="eastAsia" w:ascii="宋体" w:hAnsi="宋体" w:eastAsia="宋体" w:cs="宋体"/>
          <w:color w:val="auto"/>
          <w:sz w:val="21"/>
          <w:szCs w:val="21"/>
        </w:rPr>
        <w:t>格式，并应使用光盘和</w:t>
      </w:r>
      <w:r>
        <w:rPr>
          <w:rStyle w:val="67"/>
          <w:rFonts w:ascii="宋体" w:hAnsi="宋体" w:eastAsia="宋体" w:cs="宋体"/>
          <w:color w:val="auto"/>
          <w:sz w:val="21"/>
          <w:szCs w:val="21"/>
          <w:lang w:eastAsia="zh-CN"/>
        </w:rPr>
        <w:t>U</w:t>
      </w:r>
      <w:r>
        <w:rPr>
          <w:rFonts w:hint="eastAsia" w:ascii="宋体" w:hAnsi="宋体" w:eastAsia="宋体" w:cs="宋体"/>
          <w:color w:val="auto"/>
          <w:sz w:val="21"/>
          <w:szCs w:val="21"/>
        </w:rPr>
        <w:t>盘分别贮存。</w:t>
      </w:r>
    </w:p>
    <w:p>
      <w:pPr>
        <w:pStyle w:val="64"/>
        <w:keepNext/>
        <w:keepLines/>
        <w:shd w:val="clear" w:color="auto" w:fill="auto"/>
        <w:spacing w:line="480" w:lineRule="exact"/>
        <w:ind w:firstLine="560"/>
        <w:rPr>
          <w:rFonts w:ascii="宋体" w:hAnsi="宋体" w:eastAsia="宋体" w:cs="Times New Roman"/>
          <w:color w:val="auto"/>
          <w:sz w:val="21"/>
          <w:szCs w:val="21"/>
        </w:rPr>
      </w:pPr>
      <w:bookmarkStart w:id="39" w:name="bookmark133"/>
      <w:r>
        <w:rPr>
          <w:rFonts w:ascii="宋体" w:hAnsi="宋体" w:eastAsia="宋体" w:cs="宋体"/>
          <w:color w:val="auto"/>
          <w:sz w:val="21"/>
          <w:szCs w:val="21"/>
        </w:rPr>
        <w:t>6.7</w:t>
      </w:r>
      <w:r>
        <w:rPr>
          <w:rFonts w:hint="eastAsia" w:ascii="宋体" w:hAnsi="宋体" w:eastAsia="宋体" w:cs="宋体"/>
          <w:color w:val="auto"/>
          <w:sz w:val="21"/>
          <w:szCs w:val="21"/>
        </w:rPr>
        <w:t>提前完成勘察</w:t>
      </w:r>
      <w:bookmarkEnd w:id="39"/>
    </w:p>
    <w:p>
      <w:pPr>
        <w:pStyle w:val="64"/>
        <w:keepNext/>
        <w:keepLines/>
        <w:shd w:val="clear" w:color="auto" w:fill="auto"/>
        <w:spacing w:line="480" w:lineRule="exact"/>
        <w:ind w:firstLine="560"/>
        <w:rPr>
          <w:rFonts w:ascii="宋体" w:hAnsi="宋体" w:eastAsia="宋体" w:cs="Times New Roman"/>
          <w:color w:val="auto"/>
          <w:sz w:val="21"/>
          <w:szCs w:val="21"/>
        </w:rPr>
      </w:pPr>
      <w:r>
        <w:rPr>
          <w:rFonts w:ascii="宋体" w:hAnsi="宋体" w:eastAsia="宋体" w:cs="宋体"/>
          <w:b w:val="0"/>
          <w:bCs w:val="0"/>
          <w:color w:val="auto"/>
          <w:spacing w:val="0"/>
          <w:sz w:val="21"/>
          <w:szCs w:val="21"/>
        </w:rPr>
        <w:t>6.7.1</w:t>
      </w:r>
      <w:r>
        <w:rPr>
          <w:rFonts w:hint="eastAsia" w:ascii="宋体" w:hAnsi="宋体" w:eastAsia="宋体" w:cs="宋体"/>
          <w:b w:val="0"/>
          <w:bCs w:val="0"/>
          <w:color w:val="auto"/>
          <w:spacing w:val="0"/>
          <w:sz w:val="21"/>
          <w:szCs w:val="21"/>
        </w:rPr>
        <w:t>根据发包人要求或者基于专业能力判断，勘察人认为能够提前完成勘察的，可向发包人递交一份提前完成勘察建议书，包括实施方案、提前时间、勘察费用变动等内容。除专用合同条款另有约定之外，发包人接受建议书的，不因提前完成勘察而减少勘察费用；增加勘察费用的，所增费用由发包人承担。</w:t>
      </w:r>
    </w:p>
    <w:p>
      <w:pPr>
        <w:pStyle w:val="60"/>
        <w:shd w:val="clear" w:color="auto" w:fill="auto"/>
        <w:spacing w:before="0" w:after="0" w:line="480" w:lineRule="exact"/>
        <w:ind w:firstLine="500"/>
        <w:jc w:val="both"/>
        <w:rPr>
          <w:rFonts w:ascii="宋体" w:hAnsi="宋体" w:eastAsia="宋体" w:cs="Times New Roman"/>
          <w:color w:val="auto"/>
          <w:sz w:val="21"/>
          <w:szCs w:val="21"/>
        </w:rPr>
      </w:pPr>
      <w:r>
        <w:rPr>
          <w:rFonts w:ascii="宋体" w:hAnsi="宋体" w:eastAsia="宋体" w:cs="宋体"/>
          <w:color w:val="auto"/>
          <w:sz w:val="21"/>
          <w:szCs w:val="21"/>
        </w:rPr>
        <w:t>6.7.2</w:t>
      </w:r>
      <w:r>
        <w:rPr>
          <w:rFonts w:hint="eastAsia" w:ascii="宋体" w:hAnsi="宋体" w:eastAsia="宋体" w:cs="宋体"/>
          <w:color w:val="auto"/>
          <w:sz w:val="21"/>
          <w:szCs w:val="21"/>
        </w:rPr>
        <w:t>发包人要求提前完成勘察但勘察人认为无法实施的，应在收到发包人书面指示后</w:t>
      </w:r>
      <w:r>
        <w:rPr>
          <w:rFonts w:ascii="宋体" w:hAnsi="宋体" w:eastAsia="宋体" w:cs="宋体"/>
          <w:color w:val="auto"/>
          <w:sz w:val="21"/>
          <w:szCs w:val="21"/>
        </w:rPr>
        <w:t>7</w:t>
      </w:r>
      <w:r>
        <w:rPr>
          <w:rFonts w:hint="eastAsia" w:ascii="宋体" w:hAnsi="宋体" w:eastAsia="宋体" w:cs="宋体"/>
          <w:color w:val="auto"/>
          <w:sz w:val="21"/>
          <w:szCs w:val="21"/>
        </w:rPr>
        <w:t>天内提出异议，说明不能提前完成的理由。发包人应在收到异议后</w:t>
      </w:r>
      <w:r>
        <w:rPr>
          <w:rFonts w:ascii="宋体" w:hAnsi="宋体" w:eastAsia="宋体" w:cs="宋体"/>
          <w:color w:val="auto"/>
          <w:sz w:val="21"/>
          <w:szCs w:val="21"/>
        </w:rPr>
        <w:t>7</w:t>
      </w:r>
      <w:r>
        <w:rPr>
          <w:rFonts w:hint="eastAsia" w:ascii="宋体" w:hAnsi="宋体" w:eastAsia="宋体" w:cs="宋体"/>
          <w:color w:val="auto"/>
          <w:sz w:val="21"/>
          <w:szCs w:val="21"/>
        </w:rPr>
        <w:t>天内予以答复。任何情况下，发包人不得压缩合理的勘察服务期限。</w:t>
      </w:r>
    </w:p>
    <w:p>
      <w:pPr>
        <w:pStyle w:val="60"/>
        <w:shd w:val="clear" w:color="auto" w:fill="auto"/>
        <w:spacing w:before="0" w:after="296" w:line="480" w:lineRule="exact"/>
        <w:ind w:firstLine="500"/>
        <w:jc w:val="left"/>
        <w:rPr>
          <w:rFonts w:ascii="宋体" w:hAnsi="宋体" w:eastAsia="宋体" w:cs="Times New Roman"/>
          <w:color w:val="auto"/>
          <w:sz w:val="21"/>
          <w:szCs w:val="21"/>
        </w:rPr>
      </w:pPr>
      <w:r>
        <w:rPr>
          <w:rFonts w:ascii="宋体" w:hAnsi="宋体" w:eastAsia="宋体" w:cs="宋体"/>
          <w:color w:val="auto"/>
          <w:sz w:val="21"/>
          <w:szCs w:val="21"/>
        </w:rPr>
        <w:t>6.7.3</w:t>
      </w:r>
      <w:r>
        <w:rPr>
          <w:rFonts w:hint="eastAsia" w:ascii="宋体" w:hAnsi="宋体" w:eastAsia="宋体" w:cs="宋体"/>
          <w:color w:val="auto"/>
          <w:sz w:val="21"/>
          <w:szCs w:val="21"/>
        </w:rPr>
        <w:t>由于勘察人提前完成勘察而给发包人带来经济效益的，发包人可以在专用合同条款中约定勘察人因此获得的奖励内容。</w:t>
      </w:r>
    </w:p>
    <w:p>
      <w:pPr>
        <w:pStyle w:val="70"/>
        <w:keepNext/>
        <w:keepLines/>
        <w:numPr>
          <w:ilvl w:val="0"/>
          <w:numId w:val="2"/>
        </w:numPr>
        <w:shd w:val="clear" w:color="auto" w:fill="auto"/>
        <w:spacing w:before="0" w:after="144"/>
        <w:jc w:val="left"/>
        <w:rPr>
          <w:rFonts w:ascii="宋体" w:hAnsi="宋体" w:eastAsia="宋体" w:cs="Times New Roman"/>
          <w:color w:val="auto"/>
          <w:sz w:val="21"/>
          <w:szCs w:val="21"/>
        </w:rPr>
      </w:pPr>
      <w:bookmarkStart w:id="40" w:name="bookmark134"/>
      <w:r>
        <w:rPr>
          <w:rStyle w:val="71"/>
          <w:rFonts w:hint="eastAsia" w:ascii="宋体" w:hAnsi="宋体" w:eastAsia="宋体" w:cs="宋体"/>
          <w:color w:val="auto"/>
          <w:sz w:val="21"/>
          <w:szCs w:val="21"/>
        </w:rPr>
        <w:t>暂停勘察</w:t>
      </w:r>
      <w:bookmarkEnd w:id="40"/>
    </w:p>
    <w:p>
      <w:pPr>
        <w:pStyle w:val="64"/>
        <w:keepNext/>
        <w:keepLines/>
        <w:shd w:val="clear" w:color="auto" w:fill="auto"/>
        <w:spacing w:line="480" w:lineRule="exact"/>
        <w:ind w:firstLine="500"/>
        <w:rPr>
          <w:rFonts w:ascii="宋体" w:hAnsi="宋体" w:eastAsia="宋体" w:cs="Times New Roman"/>
          <w:color w:val="auto"/>
          <w:sz w:val="21"/>
          <w:szCs w:val="21"/>
        </w:rPr>
      </w:pPr>
      <w:bookmarkStart w:id="41" w:name="bookmark135"/>
      <w:r>
        <w:rPr>
          <w:rFonts w:ascii="宋体" w:hAnsi="宋体" w:eastAsia="宋体" w:cs="宋体"/>
          <w:color w:val="auto"/>
          <w:sz w:val="21"/>
          <w:szCs w:val="21"/>
          <w:lang w:eastAsia="en-US"/>
        </w:rPr>
        <w:t>7.1</w:t>
      </w:r>
      <w:r>
        <w:rPr>
          <w:rFonts w:hint="eastAsia" w:ascii="宋体" w:hAnsi="宋体" w:eastAsia="宋体" w:cs="宋体"/>
          <w:color w:val="auto"/>
          <w:sz w:val="21"/>
          <w:szCs w:val="21"/>
        </w:rPr>
        <w:t>发包人原因暂停勘察</w:t>
      </w:r>
      <w:bookmarkEnd w:id="41"/>
    </w:p>
    <w:p>
      <w:pPr>
        <w:pStyle w:val="60"/>
        <w:shd w:val="clear" w:color="auto" w:fill="auto"/>
        <w:spacing w:before="0" w:after="0" w:line="480" w:lineRule="exact"/>
        <w:ind w:firstLine="500"/>
        <w:jc w:val="left"/>
        <w:rPr>
          <w:rFonts w:ascii="宋体" w:hAnsi="宋体" w:eastAsia="宋体" w:cs="Times New Roman"/>
          <w:color w:val="auto"/>
          <w:sz w:val="21"/>
          <w:szCs w:val="21"/>
        </w:rPr>
      </w:pPr>
      <w:r>
        <w:rPr>
          <w:rFonts w:hint="eastAsia" w:ascii="宋体" w:hAnsi="宋体" w:eastAsia="宋体" w:cs="宋体"/>
          <w:color w:val="auto"/>
          <w:sz w:val="21"/>
          <w:szCs w:val="21"/>
        </w:rPr>
        <w:t>合同履行中发生下列情形之一的，勘察人可向发包人发出通知，要求发包人采取有效措施予以纠正。发包人收到勘察人通知后的</w:t>
      </w:r>
      <w:r>
        <w:rPr>
          <w:rFonts w:ascii="宋体" w:hAnsi="宋体" w:eastAsia="宋体" w:cs="宋体"/>
          <w:color w:val="auto"/>
          <w:sz w:val="21"/>
          <w:szCs w:val="21"/>
        </w:rPr>
        <w:t>28</w:t>
      </w:r>
      <w:r>
        <w:rPr>
          <w:rFonts w:hint="eastAsia" w:ascii="宋体" w:hAnsi="宋体" w:eastAsia="宋体" w:cs="宋体"/>
          <w:color w:val="auto"/>
          <w:sz w:val="21"/>
          <w:szCs w:val="21"/>
        </w:rPr>
        <w:t>天内仍不履行合同义务时，勘察人有权暂停勘察并通知发包人；发包人应承担由此导致的费用增加和</w:t>
      </w:r>
      <w:r>
        <w:rPr>
          <w:rFonts w:ascii="宋体" w:hAnsi="宋体" w:eastAsia="宋体" w:cs="宋体"/>
          <w:color w:val="auto"/>
          <w:sz w:val="21"/>
          <w:szCs w:val="21"/>
        </w:rPr>
        <w:t>(</w:t>
      </w:r>
      <w:r>
        <w:rPr>
          <w:rFonts w:hint="eastAsia" w:ascii="宋体" w:hAnsi="宋体" w:eastAsia="宋体" w:cs="宋体"/>
          <w:color w:val="auto"/>
          <w:sz w:val="21"/>
          <w:szCs w:val="21"/>
        </w:rPr>
        <w:t>或</w:t>
      </w:r>
      <w:r>
        <w:rPr>
          <w:rFonts w:ascii="宋体" w:hAnsi="宋体" w:eastAsia="宋体" w:cs="宋体"/>
          <w:color w:val="auto"/>
          <w:sz w:val="21"/>
          <w:szCs w:val="21"/>
        </w:rPr>
        <w:t>)</w:t>
      </w:r>
      <w:r>
        <w:rPr>
          <w:rFonts w:hint="eastAsia" w:ascii="宋体" w:hAnsi="宋体" w:eastAsia="宋体" w:cs="宋体"/>
          <w:color w:val="auto"/>
          <w:sz w:val="21"/>
          <w:szCs w:val="21"/>
        </w:rPr>
        <w:t>周期延误。</w:t>
      </w:r>
    </w:p>
    <w:p>
      <w:pPr>
        <w:pStyle w:val="60"/>
        <w:numPr>
          <w:ilvl w:val="0"/>
          <w:numId w:val="12"/>
        </w:numPr>
        <w:shd w:val="clear" w:color="auto" w:fill="auto"/>
        <w:tabs>
          <w:tab w:val="left" w:pos="1166"/>
        </w:tabs>
        <w:spacing w:before="0" w:after="0" w:line="480" w:lineRule="exact"/>
        <w:ind w:left="640" w:firstLine="0"/>
        <w:jc w:val="left"/>
        <w:rPr>
          <w:rFonts w:ascii="宋体" w:hAnsi="宋体" w:eastAsia="宋体" w:cs="Times New Roman"/>
          <w:color w:val="auto"/>
          <w:sz w:val="21"/>
          <w:szCs w:val="21"/>
        </w:rPr>
      </w:pPr>
      <w:r>
        <w:rPr>
          <w:rFonts w:hint="eastAsia" w:ascii="宋体" w:hAnsi="宋体" w:eastAsia="宋体" w:cs="宋体"/>
          <w:color w:val="auto"/>
          <w:sz w:val="21"/>
          <w:szCs w:val="21"/>
        </w:rPr>
        <w:t>发包人违约；</w:t>
      </w:r>
    </w:p>
    <w:p>
      <w:pPr>
        <w:pStyle w:val="60"/>
        <w:numPr>
          <w:ilvl w:val="0"/>
          <w:numId w:val="12"/>
        </w:numPr>
        <w:shd w:val="clear" w:color="auto" w:fill="auto"/>
        <w:tabs>
          <w:tab w:val="left" w:pos="1166"/>
        </w:tabs>
        <w:spacing w:before="0" w:after="0" w:line="480" w:lineRule="exact"/>
        <w:ind w:left="640" w:firstLine="0"/>
        <w:jc w:val="left"/>
        <w:rPr>
          <w:rFonts w:ascii="宋体" w:hAnsi="宋体" w:eastAsia="宋体" w:cs="Times New Roman"/>
          <w:color w:val="auto"/>
          <w:sz w:val="21"/>
          <w:szCs w:val="21"/>
        </w:rPr>
      </w:pPr>
      <w:r>
        <w:rPr>
          <w:rFonts w:hint="eastAsia" w:ascii="宋体" w:hAnsi="宋体" w:eastAsia="宋体" w:cs="宋体"/>
          <w:color w:val="auto"/>
          <w:sz w:val="21"/>
          <w:szCs w:val="21"/>
        </w:rPr>
        <w:t>发包人确定暂停勘察；</w:t>
      </w:r>
    </w:p>
    <w:p>
      <w:pPr>
        <w:pStyle w:val="60"/>
        <w:numPr>
          <w:ilvl w:val="0"/>
          <w:numId w:val="12"/>
        </w:numPr>
        <w:shd w:val="clear" w:color="auto" w:fill="auto"/>
        <w:tabs>
          <w:tab w:val="left" w:pos="1169"/>
        </w:tabs>
        <w:spacing w:before="0" w:after="0" w:line="480" w:lineRule="exact"/>
        <w:ind w:left="640" w:firstLine="0"/>
        <w:jc w:val="left"/>
        <w:rPr>
          <w:rFonts w:ascii="宋体" w:hAnsi="宋体" w:eastAsia="宋体" w:cs="Times New Roman"/>
          <w:color w:val="auto"/>
          <w:sz w:val="21"/>
          <w:szCs w:val="21"/>
        </w:rPr>
      </w:pPr>
      <w:r>
        <w:rPr>
          <w:rFonts w:hint="eastAsia" w:ascii="宋体" w:hAnsi="宋体" w:eastAsia="宋体" w:cs="宋体"/>
          <w:color w:val="auto"/>
          <w:sz w:val="21"/>
          <w:szCs w:val="21"/>
        </w:rPr>
        <w:t>合同约定由发包人承担责任的其他情形。</w:t>
      </w:r>
    </w:p>
    <w:p>
      <w:pPr>
        <w:pStyle w:val="64"/>
        <w:keepNext/>
        <w:keepLines/>
        <w:shd w:val="clear" w:color="auto" w:fill="auto"/>
        <w:spacing w:line="480" w:lineRule="exact"/>
        <w:ind w:firstLine="500"/>
        <w:rPr>
          <w:rFonts w:ascii="宋体" w:hAnsi="宋体" w:eastAsia="宋体" w:cs="Times New Roman"/>
          <w:color w:val="auto"/>
          <w:sz w:val="21"/>
          <w:szCs w:val="21"/>
        </w:rPr>
      </w:pPr>
      <w:bookmarkStart w:id="42" w:name="bookmark136"/>
      <w:r>
        <w:rPr>
          <w:rFonts w:ascii="宋体" w:hAnsi="宋体" w:eastAsia="宋体" w:cs="宋体"/>
          <w:color w:val="auto"/>
          <w:sz w:val="21"/>
          <w:szCs w:val="21"/>
        </w:rPr>
        <w:t>7.2</w:t>
      </w:r>
      <w:r>
        <w:rPr>
          <w:rFonts w:hint="eastAsia" w:ascii="宋体" w:hAnsi="宋体" w:eastAsia="宋体" w:cs="宋体"/>
          <w:color w:val="auto"/>
          <w:sz w:val="21"/>
          <w:szCs w:val="21"/>
        </w:rPr>
        <w:t>勘察人原因暂停勘察</w:t>
      </w:r>
      <w:bookmarkEnd w:id="42"/>
    </w:p>
    <w:p>
      <w:pPr>
        <w:pStyle w:val="60"/>
        <w:shd w:val="clear" w:color="auto" w:fill="auto"/>
        <w:spacing w:before="0" w:after="0" w:line="480" w:lineRule="exact"/>
        <w:ind w:firstLine="500"/>
        <w:jc w:val="left"/>
        <w:rPr>
          <w:rFonts w:ascii="宋体" w:hAnsi="宋体" w:eastAsia="宋体" w:cs="Times New Roman"/>
          <w:color w:val="auto"/>
          <w:sz w:val="21"/>
          <w:szCs w:val="21"/>
        </w:rPr>
      </w:pPr>
      <w:r>
        <w:rPr>
          <w:rFonts w:hint="eastAsia" w:ascii="宋体" w:hAnsi="宋体" w:eastAsia="宋体" w:cs="宋体"/>
          <w:color w:val="auto"/>
          <w:sz w:val="21"/>
          <w:szCs w:val="21"/>
        </w:rPr>
        <w:t>合同履行中发生下列情形之一的，发包人可向勘察人发出通知暂停勘察，由此造成费用的增加和</w:t>
      </w:r>
      <w:r>
        <w:rPr>
          <w:rFonts w:ascii="宋体" w:hAnsi="宋体" w:eastAsia="宋体" w:cs="宋体"/>
          <w:color w:val="auto"/>
          <w:sz w:val="21"/>
          <w:szCs w:val="21"/>
        </w:rPr>
        <w:t>(</w:t>
      </w:r>
      <w:r>
        <w:rPr>
          <w:rFonts w:hint="eastAsia" w:ascii="宋体" w:hAnsi="宋体" w:eastAsia="宋体" w:cs="宋体"/>
          <w:color w:val="auto"/>
          <w:sz w:val="21"/>
          <w:szCs w:val="21"/>
        </w:rPr>
        <w:t>或</w:t>
      </w:r>
      <w:r>
        <w:rPr>
          <w:rFonts w:ascii="宋体" w:hAnsi="宋体" w:eastAsia="宋体" w:cs="宋体"/>
          <w:color w:val="auto"/>
          <w:sz w:val="21"/>
          <w:szCs w:val="21"/>
        </w:rPr>
        <w:t>)</w:t>
      </w:r>
      <w:r>
        <w:rPr>
          <w:rFonts w:hint="eastAsia" w:ascii="宋体" w:hAnsi="宋体" w:eastAsia="宋体" w:cs="宋体"/>
          <w:color w:val="auto"/>
          <w:sz w:val="21"/>
          <w:szCs w:val="21"/>
        </w:rPr>
        <w:t>周期延误由勘察人承担：</w:t>
      </w:r>
    </w:p>
    <w:p>
      <w:pPr>
        <w:pStyle w:val="60"/>
        <w:numPr>
          <w:ilvl w:val="0"/>
          <w:numId w:val="13"/>
        </w:numPr>
        <w:shd w:val="clear" w:color="auto" w:fill="auto"/>
        <w:tabs>
          <w:tab w:val="left" w:pos="1166"/>
        </w:tabs>
        <w:spacing w:before="0" w:after="0" w:line="480" w:lineRule="exact"/>
        <w:ind w:left="640" w:firstLine="0"/>
        <w:jc w:val="left"/>
        <w:rPr>
          <w:rFonts w:ascii="宋体" w:hAnsi="宋体" w:eastAsia="宋体" w:cs="Times New Roman"/>
          <w:color w:val="auto"/>
          <w:sz w:val="21"/>
          <w:szCs w:val="21"/>
        </w:rPr>
      </w:pPr>
      <w:r>
        <w:rPr>
          <w:rFonts w:hint="eastAsia" w:ascii="宋体" w:hAnsi="宋体" w:eastAsia="宋体" w:cs="宋体"/>
          <w:color w:val="auto"/>
          <w:sz w:val="21"/>
          <w:szCs w:val="21"/>
        </w:rPr>
        <w:t>勘察人违约；</w:t>
      </w:r>
    </w:p>
    <w:p>
      <w:pPr>
        <w:pStyle w:val="60"/>
        <w:numPr>
          <w:ilvl w:val="0"/>
          <w:numId w:val="13"/>
        </w:numPr>
        <w:shd w:val="clear" w:color="auto" w:fill="auto"/>
        <w:tabs>
          <w:tab w:val="left" w:pos="1169"/>
        </w:tabs>
        <w:spacing w:before="0" w:after="0" w:line="480" w:lineRule="exact"/>
        <w:ind w:left="640" w:firstLine="0"/>
        <w:jc w:val="left"/>
        <w:rPr>
          <w:rFonts w:ascii="宋体" w:hAnsi="宋体" w:eastAsia="宋体" w:cs="Times New Roman"/>
          <w:color w:val="auto"/>
          <w:sz w:val="21"/>
          <w:szCs w:val="21"/>
        </w:rPr>
      </w:pPr>
      <w:r>
        <w:rPr>
          <w:rFonts w:hint="eastAsia" w:ascii="宋体" w:hAnsi="宋体" w:eastAsia="宋体" w:cs="宋体"/>
          <w:color w:val="auto"/>
          <w:sz w:val="21"/>
          <w:szCs w:val="21"/>
        </w:rPr>
        <w:t>勘察人擅自暂停勘察；</w:t>
      </w:r>
    </w:p>
    <w:p>
      <w:pPr>
        <w:pStyle w:val="60"/>
        <w:numPr>
          <w:ilvl w:val="0"/>
          <w:numId w:val="13"/>
        </w:numPr>
        <w:shd w:val="clear" w:color="auto" w:fill="auto"/>
        <w:tabs>
          <w:tab w:val="left" w:pos="1169"/>
        </w:tabs>
        <w:spacing w:before="0" w:after="0" w:line="480" w:lineRule="exact"/>
        <w:ind w:left="640" w:firstLine="0"/>
        <w:jc w:val="left"/>
        <w:rPr>
          <w:rFonts w:ascii="宋体" w:hAnsi="宋体" w:eastAsia="宋体" w:cs="Times New Roman"/>
          <w:color w:val="auto"/>
          <w:sz w:val="21"/>
          <w:szCs w:val="21"/>
        </w:rPr>
      </w:pPr>
      <w:r>
        <w:rPr>
          <w:rFonts w:hint="eastAsia" w:ascii="宋体" w:hAnsi="宋体" w:eastAsia="宋体" w:cs="宋体"/>
          <w:color w:val="auto"/>
          <w:sz w:val="21"/>
          <w:szCs w:val="21"/>
        </w:rPr>
        <w:t>合同约定由勘察人承担责任的其他情形。</w:t>
      </w:r>
    </w:p>
    <w:p>
      <w:pPr>
        <w:pStyle w:val="64"/>
        <w:keepNext/>
        <w:keepLines/>
        <w:shd w:val="clear" w:color="auto" w:fill="auto"/>
        <w:spacing w:line="480" w:lineRule="exact"/>
        <w:ind w:firstLine="500"/>
        <w:rPr>
          <w:rFonts w:ascii="宋体" w:hAnsi="宋体" w:eastAsia="宋体" w:cs="Times New Roman"/>
          <w:color w:val="auto"/>
          <w:sz w:val="21"/>
          <w:szCs w:val="21"/>
        </w:rPr>
      </w:pPr>
      <w:bookmarkStart w:id="43" w:name="bookmark137"/>
      <w:r>
        <w:rPr>
          <w:rFonts w:ascii="宋体" w:hAnsi="宋体" w:eastAsia="宋体" w:cs="宋体"/>
          <w:color w:val="auto"/>
          <w:sz w:val="21"/>
          <w:szCs w:val="21"/>
        </w:rPr>
        <w:t>7.3</w:t>
      </w:r>
      <w:r>
        <w:rPr>
          <w:rFonts w:hint="eastAsia" w:ascii="宋体" w:hAnsi="宋体" w:eastAsia="宋体" w:cs="宋体"/>
          <w:color w:val="auto"/>
          <w:sz w:val="21"/>
          <w:szCs w:val="21"/>
        </w:rPr>
        <w:t>暂停期间的文件照管</w:t>
      </w:r>
      <w:bookmarkEnd w:id="43"/>
    </w:p>
    <w:p>
      <w:pPr>
        <w:pStyle w:val="60"/>
        <w:shd w:val="clear" w:color="auto" w:fill="auto"/>
        <w:spacing w:before="0" w:after="0" w:line="480" w:lineRule="exact"/>
        <w:ind w:firstLine="500"/>
        <w:jc w:val="left"/>
        <w:rPr>
          <w:rFonts w:ascii="宋体" w:hAnsi="宋体" w:eastAsia="宋体" w:cs="Times New Roman"/>
          <w:color w:val="auto"/>
          <w:sz w:val="21"/>
          <w:szCs w:val="21"/>
        </w:rPr>
      </w:pPr>
      <w:r>
        <w:rPr>
          <w:rFonts w:hint="eastAsia" w:ascii="宋体" w:hAnsi="宋体" w:eastAsia="宋体" w:cs="宋体"/>
          <w:color w:val="auto"/>
          <w:sz w:val="21"/>
          <w:szCs w:val="21"/>
        </w:rPr>
        <w:t>不论由于何种原因引起暂停勘察的，暂停期间勘察人应负责妥善保护己完部分的勘察文件，由此增加的费用由责任方承担。</w:t>
      </w:r>
    </w:p>
    <w:p>
      <w:pPr>
        <w:pStyle w:val="60"/>
        <w:shd w:val="clear" w:color="auto" w:fill="auto"/>
        <w:spacing w:before="0" w:after="0" w:line="480" w:lineRule="exact"/>
        <w:ind w:firstLine="500"/>
        <w:jc w:val="left"/>
        <w:rPr>
          <w:rFonts w:ascii="宋体" w:hAnsi="宋体" w:eastAsia="宋体" w:cs="Times New Roman"/>
          <w:color w:val="auto"/>
          <w:sz w:val="21"/>
          <w:szCs w:val="21"/>
        </w:rPr>
      </w:pPr>
    </w:p>
    <w:p>
      <w:pPr>
        <w:pStyle w:val="70"/>
        <w:keepNext/>
        <w:keepLines/>
        <w:numPr>
          <w:ilvl w:val="0"/>
          <w:numId w:val="2"/>
        </w:numPr>
        <w:shd w:val="clear" w:color="auto" w:fill="auto"/>
        <w:spacing w:before="0" w:after="146" w:line="288" w:lineRule="exact"/>
        <w:jc w:val="left"/>
        <w:rPr>
          <w:rFonts w:ascii="宋体" w:hAnsi="宋体" w:eastAsia="宋体" w:cs="Times New Roman"/>
          <w:color w:val="auto"/>
          <w:sz w:val="21"/>
          <w:szCs w:val="21"/>
        </w:rPr>
      </w:pPr>
      <w:bookmarkStart w:id="44" w:name="bookmark138"/>
      <w:r>
        <w:rPr>
          <w:rStyle w:val="71"/>
          <w:rFonts w:hint="eastAsia" w:ascii="宋体" w:hAnsi="宋体" w:eastAsia="宋体" w:cs="宋体"/>
          <w:color w:val="auto"/>
          <w:sz w:val="21"/>
          <w:szCs w:val="21"/>
        </w:rPr>
        <w:t>勘察文件</w:t>
      </w:r>
      <w:bookmarkEnd w:id="44"/>
    </w:p>
    <w:p>
      <w:pPr>
        <w:pStyle w:val="64"/>
        <w:keepNext/>
        <w:keepLines/>
        <w:shd w:val="clear" w:color="auto" w:fill="auto"/>
        <w:spacing w:line="480" w:lineRule="exact"/>
        <w:ind w:firstLine="520"/>
        <w:rPr>
          <w:rFonts w:ascii="宋体" w:hAnsi="宋体" w:eastAsia="宋体" w:cs="Times New Roman"/>
          <w:color w:val="auto"/>
          <w:sz w:val="21"/>
          <w:szCs w:val="21"/>
        </w:rPr>
      </w:pPr>
      <w:bookmarkStart w:id="45" w:name="bookmark139"/>
      <w:r>
        <w:rPr>
          <w:rFonts w:ascii="宋体" w:hAnsi="宋体" w:eastAsia="宋体" w:cs="宋体"/>
          <w:color w:val="auto"/>
          <w:sz w:val="21"/>
          <w:szCs w:val="21"/>
          <w:lang w:eastAsia="en-US"/>
        </w:rPr>
        <w:t>8.1</w:t>
      </w:r>
      <w:r>
        <w:rPr>
          <w:rFonts w:hint="eastAsia" w:ascii="宋体" w:hAnsi="宋体" w:eastAsia="宋体" w:cs="宋体"/>
          <w:color w:val="auto"/>
          <w:sz w:val="21"/>
          <w:szCs w:val="21"/>
        </w:rPr>
        <w:t>勘察文件接收</w:t>
      </w:r>
      <w:bookmarkEnd w:id="45"/>
    </w:p>
    <w:p>
      <w:pPr>
        <w:pStyle w:val="60"/>
        <w:shd w:val="clear" w:color="auto" w:fill="auto"/>
        <w:spacing w:before="0" w:after="0" w:line="480"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8.1.1</w:t>
      </w:r>
      <w:r>
        <w:rPr>
          <w:rFonts w:hint="eastAsia" w:ascii="宋体" w:hAnsi="宋体" w:eastAsia="宋体" w:cs="宋体"/>
          <w:color w:val="auto"/>
          <w:sz w:val="21"/>
          <w:szCs w:val="21"/>
        </w:rPr>
        <w:t>发包人应及时接收勘察人提交的勘察文件。如无正当理由拒收的，视为发包人己经接收勘察文件。</w:t>
      </w:r>
    </w:p>
    <w:p>
      <w:pPr>
        <w:pStyle w:val="60"/>
        <w:shd w:val="clear" w:color="auto" w:fill="auto"/>
        <w:spacing w:before="0" w:after="0" w:line="480" w:lineRule="exact"/>
        <w:ind w:firstLine="520"/>
        <w:jc w:val="both"/>
        <w:rPr>
          <w:rFonts w:ascii="宋体" w:hAnsi="宋体" w:eastAsia="宋体" w:cs="Times New Roman"/>
          <w:color w:val="auto"/>
          <w:sz w:val="21"/>
          <w:szCs w:val="21"/>
        </w:rPr>
      </w:pPr>
      <w:r>
        <w:rPr>
          <w:rStyle w:val="67"/>
          <w:rFonts w:ascii="宋体" w:hAnsi="宋体" w:eastAsia="宋体" w:cs="宋体"/>
          <w:color w:val="auto"/>
          <w:sz w:val="21"/>
          <w:szCs w:val="21"/>
          <w:lang w:eastAsia="zh-CN"/>
        </w:rPr>
        <w:t>8</w:t>
      </w:r>
      <w:r>
        <w:rPr>
          <w:rStyle w:val="68"/>
          <w:rFonts w:ascii="宋体" w:hAnsi="宋体" w:eastAsia="宋体" w:cs="宋体"/>
          <w:color w:val="auto"/>
          <w:sz w:val="21"/>
          <w:szCs w:val="21"/>
          <w:lang w:eastAsia="zh-CN"/>
        </w:rPr>
        <w:t>.</w:t>
      </w:r>
      <w:r>
        <w:rPr>
          <w:rStyle w:val="67"/>
          <w:rFonts w:ascii="宋体" w:hAnsi="宋体" w:eastAsia="宋体" w:cs="宋体"/>
          <w:color w:val="auto"/>
          <w:sz w:val="21"/>
          <w:szCs w:val="21"/>
          <w:lang w:eastAsia="zh-CN"/>
        </w:rPr>
        <w:t>1.2</w:t>
      </w:r>
      <w:r>
        <w:rPr>
          <w:rFonts w:hint="eastAsia" w:ascii="宋体" w:hAnsi="宋体" w:eastAsia="宋体" w:cs="宋体"/>
          <w:color w:val="auto"/>
          <w:sz w:val="21"/>
          <w:szCs w:val="21"/>
        </w:rPr>
        <w:t>发包人接收勘察文件时，应向勘察人出具文件签收凭证，凭证内容包括文件名称、文件内容、文件形式、份数、提交和接收日期、提交人与接收人的亲笔签名等。</w:t>
      </w:r>
    </w:p>
    <w:p>
      <w:pPr>
        <w:pStyle w:val="60"/>
        <w:shd w:val="clear" w:color="auto" w:fill="auto"/>
        <w:spacing w:before="0" w:after="0" w:line="480"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8.1.3</w:t>
      </w:r>
      <w:r>
        <w:rPr>
          <w:rFonts w:hint="eastAsia" w:ascii="宋体" w:hAnsi="宋体" w:eastAsia="宋体" w:cs="宋体"/>
          <w:color w:val="auto"/>
          <w:sz w:val="21"/>
          <w:szCs w:val="21"/>
        </w:rPr>
        <w:t>勘察文件提交的份数、内容、纸幅、装订格式、电子文件、展板、模型、沙盘、动画等要求，在专用合同条款中约定。</w:t>
      </w:r>
    </w:p>
    <w:p>
      <w:pPr>
        <w:pStyle w:val="64"/>
        <w:keepNext/>
        <w:keepLines/>
        <w:shd w:val="clear" w:color="auto" w:fill="auto"/>
        <w:spacing w:line="480" w:lineRule="exact"/>
        <w:ind w:firstLine="520"/>
        <w:rPr>
          <w:rFonts w:ascii="宋体" w:hAnsi="宋体" w:eastAsia="宋体" w:cs="Times New Roman"/>
          <w:color w:val="auto"/>
          <w:sz w:val="21"/>
          <w:szCs w:val="21"/>
        </w:rPr>
      </w:pPr>
      <w:bookmarkStart w:id="46" w:name="bookmark140"/>
      <w:r>
        <w:rPr>
          <w:rFonts w:ascii="宋体" w:hAnsi="宋体" w:eastAsia="宋体" w:cs="宋体"/>
          <w:color w:val="auto"/>
          <w:sz w:val="21"/>
          <w:szCs w:val="21"/>
        </w:rPr>
        <w:t>8.2</w:t>
      </w:r>
      <w:r>
        <w:rPr>
          <w:rFonts w:hint="eastAsia" w:ascii="宋体" w:hAnsi="宋体" w:eastAsia="宋体" w:cs="宋体"/>
          <w:color w:val="auto"/>
          <w:sz w:val="21"/>
          <w:szCs w:val="21"/>
        </w:rPr>
        <w:t>发包人审查勘察文件</w:t>
      </w:r>
      <w:bookmarkEnd w:id="46"/>
    </w:p>
    <w:p>
      <w:pPr>
        <w:pStyle w:val="60"/>
        <w:shd w:val="clear" w:color="auto" w:fill="auto"/>
        <w:spacing w:before="0" w:after="0" w:line="480"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8.2.1</w:t>
      </w:r>
      <w:r>
        <w:rPr>
          <w:rFonts w:hint="eastAsia" w:ascii="宋体" w:hAnsi="宋体" w:eastAsia="宋体" w:cs="宋体"/>
          <w:color w:val="auto"/>
          <w:sz w:val="21"/>
          <w:szCs w:val="21"/>
        </w:rPr>
        <w:t>发包人接收勘察文件之后，可以自行或者组织专家会进行审查，勘察人应给予配合。审查标准应符合法律、规范标准、合同约定和发包人要求等；审查的具体范围、明细内容和费用分担，在专用合同条款中约定。</w:t>
      </w:r>
    </w:p>
    <w:p>
      <w:pPr>
        <w:pStyle w:val="60"/>
        <w:shd w:val="clear" w:color="auto" w:fill="auto"/>
        <w:spacing w:before="0" w:after="0" w:line="480" w:lineRule="exact"/>
        <w:ind w:firstLine="520"/>
        <w:jc w:val="both"/>
        <w:rPr>
          <w:rFonts w:ascii="宋体" w:hAnsi="宋体" w:eastAsia="宋体" w:cs="Times New Roman"/>
          <w:color w:val="auto"/>
          <w:sz w:val="21"/>
          <w:szCs w:val="21"/>
        </w:rPr>
      </w:pPr>
      <w:r>
        <w:rPr>
          <w:rStyle w:val="67"/>
          <w:rFonts w:ascii="宋体" w:hAnsi="宋体" w:eastAsia="宋体" w:cs="宋体"/>
          <w:color w:val="auto"/>
          <w:sz w:val="21"/>
          <w:szCs w:val="21"/>
          <w:lang w:eastAsia="zh-CN"/>
        </w:rPr>
        <w:t>8</w:t>
      </w:r>
      <w:r>
        <w:rPr>
          <w:rStyle w:val="68"/>
          <w:rFonts w:ascii="宋体" w:hAnsi="宋体" w:eastAsia="宋体" w:cs="宋体"/>
          <w:color w:val="auto"/>
          <w:sz w:val="21"/>
          <w:szCs w:val="21"/>
          <w:lang w:eastAsia="zh-CN"/>
        </w:rPr>
        <w:t>.</w:t>
      </w:r>
      <w:r>
        <w:rPr>
          <w:rStyle w:val="67"/>
          <w:rFonts w:ascii="宋体" w:hAnsi="宋体" w:eastAsia="宋体" w:cs="宋体"/>
          <w:color w:val="auto"/>
          <w:sz w:val="21"/>
          <w:szCs w:val="21"/>
          <w:lang w:eastAsia="zh-CN"/>
        </w:rPr>
        <w:t>2.2</w:t>
      </w:r>
      <w:r>
        <w:rPr>
          <w:rFonts w:hint="eastAsia" w:ascii="宋体" w:hAnsi="宋体" w:eastAsia="宋体" w:cs="宋体"/>
          <w:color w:val="auto"/>
          <w:sz w:val="21"/>
          <w:szCs w:val="21"/>
        </w:rPr>
        <w:t>除专用合同条款另有约定外，发包人对于勘察文件的审查期限，自文件接收之日起不应超过</w:t>
      </w:r>
      <w:r>
        <w:rPr>
          <w:rFonts w:ascii="宋体" w:hAnsi="宋体" w:eastAsia="宋体" w:cs="宋体"/>
          <w:color w:val="auto"/>
          <w:sz w:val="21"/>
          <w:szCs w:val="21"/>
        </w:rPr>
        <w:t>14</w:t>
      </w:r>
      <w:r>
        <w:rPr>
          <w:rFonts w:hint="eastAsia" w:ascii="宋体" w:hAnsi="宋体" w:eastAsia="宋体" w:cs="宋体"/>
          <w:color w:val="auto"/>
          <w:sz w:val="21"/>
          <w:szCs w:val="21"/>
        </w:rPr>
        <w:t>天。发包人逾期未作出审查结论且未提出异议的，视为勘察人的勘察文件己经通过发包人审查。</w:t>
      </w:r>
    </w:p>
    <w:p>
      <w:pPr>
        <w:pStyle w:val="60"/>
        <w:shd w:val="clear" w:color="auto" w:fill="auto"/>
        <w:spacing w:before="0" w:after="0" w:line="480"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8.2.3</w:t>
      </w:r>
      <w:r>
        <w:rPr>
          <w:rFonts w:hint="eastAsia" w:ascii="宋体" w:hAnsi="宋体" w:eastAsia="宋体" w:cs="宋体"/>
          <w:color w:val="auto"/>
          <w:sz w:val="21"/>
          <w:szCs w:val="21"/>
        </w:rPr>
        <w:t>发包人审查后不同意勘察的，应以书面形式通知勘察人，说明审查不通过的理由及其具体内容。勘察人应根据发包人的审查意见修改完善勘察文件，并重新报送发包人审查，审查期限重新起算。</w:t>
      </w:r>
    </w:p>
    <w:p>
      <w:pPr>
        <w:pStyle w:val="64"/>
        <w:keepNext/>
        <w:keepLines/>
        <w:shd w:val="clear" w:color="auto" w:fill="auto"/>
        <w:spacing w:line="480" w:lineRule="exact"/>
        <w:ind w:firstLine="520"/>
        <w:rPr>
          <w:rFonts w:ascii="宋体" w:hAnsi="宋体" w:eastAsia="宋体" w:cs="Times New Roman"/>
          <w:color w:val="auto"/>
          <w:sz w:val="21"/>
          <w:szCs w:val="21"/>
        </w:rPr>
      </w:pPr>
      <w:bookmarkStart w:id="47" w:name="bookmark141"/>
      <w:r>
        <w:rPr>
          <w:rFonts w:ascii="宋体" w:hAnsi="宋体" w:eastAsia="宋体" w:cs="宋体"/>
          <w:color w:val="auto"/>
          <w:sz w:val="21"/>
          <w:szCs w:val="21"/>
        </w:rPr>
        <w:t>8.3</w:t>
      </w:r>
      <w:r>
        <w:rPr>
          <w:rFonts w:hint="eastAsia" w:ascii="宋体" w:hAnsi="宋体" w:eastAsia="宋体" w:cs="宋体"/>
          <w:color w:val="auto"/>
          <w:sz w:val="21"/>
          <w:szCs w:val="21"/>
        </w:rPr>
        <w:t>审查机构审查勘察文件</w:t>
      </w:r>
      <w:bookmarkEnd w:id="47"/>
    </w:p>
    <w:p>
      <w:pPr>
        <w:pStyle w:val="60"/>
        <w:shd w:val="clear" w:color="auto" w:fill="auto"/>
        <w:spacing w:before="0" w:after="0" w:line="480"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8.3.1</w:t>
      </w:r>
      <w:r>
        <w:rPr>
          <w:rFonts w:hint="eastAsia" w:ascii="宋体" w:hAnsi="宋体" w:eastAsia="宋体" w:cs="宋体"/>
          <w:color w:val="auto"/>
          <w:sz w:val="21"/>
          <w:szCs w:val="21"/>
        </w:rPr>
        <w:t>勘察文件需经政府有关部门审查或批准的，发包人应在审查同意后，按照有关主管部门要求，将勘察文件和相关资料报送审查机构进行审查。发包人的审查和审查机构的审查不减免勘察人因为质量问题而应承担的勘察责任。</w:t>
      </w:r>
    </w:p>
    <w:p>
      <w:pPr>
        <w:pStyle w:val="60"/>
        <w:shd w:val="clear" w:color="auto" w:fill="auto"/>
        <w:spacing w:before="0" w:after="0" w:line="480"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8.3.2</w:t>
      </w:r>
      <w:r>
        <w:rPr>
          <w:rFonts w:hint="eastAsia" w:ascii="宋体" w:hAnsi="宋体" w:eastAsia="宋体" w:cs="宋体"/>
          <w:color w:val="auto"/>
          <w:sz w:val="21"/>
          <w:szCs w:val="21"/>
        </w:rPr>
        <w:t>对于审查机构的审查意见，如不需要修改发包人要求的，应由勘察人按照审查意见修改完善勘察文件；如需修改发包人要求的，则由发包人重新修改和提出发包人要求，再由勘察人根据新的发包人要求修改完善勘察文件。</w:t>
      </w:r>
    </w:p>
    <w:p>
      <w:pPr>
        <w:pStyle w:val="60"/>
        <w:shd w:val="clear" w:color="auto" w:fill="auto"/>
        <w:spacing w:before="0" w:after="0" w:line="480"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8.3.3</w:t>
      </w:r>
      <w:r>
        <w:rPr>
          <w:rFonts w:hint="eastAsia" w:ascii="宋体" w:hAnsi="宋体" w:eastAsia="宋体" w:cs="宋体"/>
          <w:color w:val="auto"/>
          <w:sz w:val="21"/>
          <w:szCs w:val="21"/>
        </w:rPr>
        <w:t>由于自身原因造成勘察文件未通过审查机构审查的，勘察人应承担违约责任，采取补救措施直至达到合同约定的质量标准，并自行承担由此导致的费用增加和（或）周期延误。</w:t>
      </w:r>
    </w:p>
    <w:p>
      <w:pPr>
        <w:pStyle w:val="60"/>
        <w:shd w:val="clear" w:color="auto" w:fill="auto"/>
        <w:spacing w:before="0" w:after="0" w:line="480" w:lineRule="exact"/>
        <w:ind w:firstLine="520"/>
        <w:jc w:val="both"/>
        <w:rPr>
          <w:rFonts w:ascii="宋体" w:hAnsi="宋体" w:eastAsia="宋体" w:cs="Times New Roman"/>
          <w:color w:val="auto"/>
          <w:sz w:val="21"/>
          <w:szCs w:val="21"/>
        </w:rPr>
      </w:pPr>
    </w:p>
    <w:p>
      <w:pPr>
        <w:pStyle w:val="70"/>
        <w:keepNext/>
        <w:keepLines/>
        <w:numPr>
          <w:ilvl w:val="0"/>
          <w:numId w:val="2"/>
        </w:numPr>
        <w:shd w:val="clear" w:color="auto" w:fill="auto"/>
        <w:spacing w:before="0" w:after="184"/>
        <w:jc w:val="left"/>
        <w:rPr>
          <w:rFonts w:ascii="宋体" w:hAnsi="宋体" w:eastAsia="宋体" w:cs="Times New Roman"/>
          <w:color w:val="auto"/>
          <w:sz w:val="21"/>
          <w:szCs w:val="21"/>
        </w:rPr>
      </w:pPr>
      <w:bookmarkStart w:id="48" w:name="bookmark142"/>
      <w:r>
        <w:rPr>
          <w:rStyle w:val="71"/>
          <w:rFonts w:hint="eastAsia" w:ascii="宋体" w:hAnsi="宋体" w:eastAsia="宋体" w:cs="宋体"/>
          <w:color w:val="auto"/>
          <w:sz w:val="21"/>
          <w:szCs w:val="21"/>
        </w:rPr>
        <w:t>勘察责任与保险</w:t>
      </w:r>
      <w:bookmarkEnd w:id="48"/>
    </w:p>
    <w:p>
      <w:pPr>
        <w:pStyle w:val="69"/>
        <w:shd w:val="clear" w:color="auto" w:fill="auto"/>
        <w:spacing w:before="0" w:line="480"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lang w:eastAsia="en-US"/>
        </w:rPr>
        <w:t>9.1</w:t>
      </w:r>
      <w:r>
        <w:rPr>
          <w:rFonts w:hint="eastAsia" w:ascii="宋体" w:hAnsi="宋体" w:eastAsia="宋体" w:cs="宋体"/>
          <w:color w:val="auto"/>
          <w:sz w:val="21"/>
          <w:szCs w:val="21"/>
        </w:rPr>
        <w:t>工作质量责任</w:t>
      </w:r>
    </w:p>
    <w:p>
      <w:pPr>
        <w:pStyle w:val="60"/>
        <w:shd w:val="clear" w:color="auto" w:fill="auto"/>
        <w:spacing w:before="0" w:after="0" w:line="480"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9.1.1</w:t>
      </w:r>
      <w:r>
        <w:rPr>
          <w:rFonts w:hint="eastAsia" w:ascii="宋体" w:hAnsi="宋体" w:eastAsia="宋体" w:cs="宋体"/>
          <w:color w:val="auto"/>
          <w:sz w:val="21"/>
          <w:szCs w:val="21"/>
        </w:rPr>
        <w:t>勘察工作质量应满足法律规定、规范标准、合同约定和发包人要求等。</w:t>
      </w:r>
    </w:p>
    <w:p>
      <w:pPr>
        <w:pStyle w:val="60"/>
        <w:shd w:val="clear" w:color="auto" w:fill="auto"/>
        <w:spacing w:before="0" w:after="0" w:line="480"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9.1.2</w:t>
      </w:r>
      <w:r>
        <w:rPr>
          <w:rFonts w:hint="eastAsia" w:ascii="宋体" w:hAnsi="宋体" w:eastAsia="宋体" w:cs="宋体"/>
          <w:color w:val="auto"/>
          <w:sz w:val="21"/>
          <w:szCs w:val="21"/>
        </w:rPr>
        <w:t>勘察人应做好勘察服务的质量与技术管理工作，建立健全内部质量管理体系和质量责任制度，加强勘察服务全过程的质量控制，建立完整的勘察文件的设计、复核、审核、会签和批准制度，明确各阶段的责任人。</w:t>
      </w:r>
    </w:p>
    <w:p>
      <w:pPr>
        <w:pStyle w:val="60"/>
        <w:shd w:val="clear" w:color="auto" w:fill="auto"/>
        <w:spacing w:before="0" w:after="0" w:line="480"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9.1.3</w:t>
      </w:r>
      <w:r>
        <w:rPr>
          <w:rFonts w:hint="eastAsia" w:ascii="宋体" w:hAnsi="宋体" w:eastAsia="宋体" w:cs="宋体"/>
          <w:color w:val="auto"/>
          <w:sz w:val="21"/>
          <w:szCs w:val="21"/>
        </w:rPr>
        <w:t>勘察人应强化现场作业质量和试验工作管理，保证原始记录和试验数据的可靠性、真实性和完整性，严禁离开现场进行追记、补记和修改记录。</w:t>
      </w:r>
    </w:p>
    <w:p>
      <w:pPr>
        <w:pStyle w:val="60"/>
        <w:shd w:val="clear" w:color="auto" w:fill="auto"/>
        <w:spacing w:before="0" w:after="0" w:line="480"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9.1.4</w:t>
      </w:r>
      <w:r>
        <w:rPr>
          <w:rFonts w:hint="eastAsia" w:ascii="宋体" w:hAnsi="宋体" w:eastAsia="宋体" w:cs="宋体"/>
          <w:color w:val="auto"/>
          <w:sz w:val="21"/>
          <w:szCs w:val="21"/>
        </w:rPr>
        <w:t>勘察人应按合同约定对勘察服务进行全过程的质量检查和检验，并作详细记录，编制勘察工作质量报表，报送发包人审查。</w:t>
      </w:r>
    </w:p>
    <w:p>
      <w:pPr>
        <w:pStyle w:val="60"/>
        <w:shd w:val="clear" w:color="auto" w:fill="auto"/>
        <w:spacing w:before="0" w:after="0" w:line="480"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9.1.5</w:t>
      </w:r>
      <w:r>
        <w:rPr>
          <w:rFonts w:hint="eastAsia" w:ascii="宋体" w:hAnsi="宋体" w:eastAsia="宋体" w:cs="宋体"/>
          <w:color w:val="auto"/>
          <w:sz w:val="21"/>
          <w:szCs w:val="21"/>
        </w:rPr>
        <w:t>发包人有权对勘察工作质量进行检查和审核。勘察人应为发包人的检查和检验提供方便，包括发包人到勘察场地、试验室或合同约定的其他地方进行察看，查阅、审核勘察的原始记录和其他文件。发包人的检查和审核，不免除勘察人按合同约定应负的责任。</w:t>
      </w:r>
    </w:p>
    <w:p>
      <w:pPr>
        <w:pStyle w:val="69"/>
        <w:shd w:val="clear" w:color="auto" w:fill="auto"/>
        <w:spacing w:before="0" w:line="480"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9.2</w:t>
      </w:r>
      <w:r>
        <w:rPr>
          <w:rFonts w:hint="eastAsia" w:ascii="宋体" w:hAnsi="宋体" w:eastAsia="宋体" w:cs="宋体"/>
          <w:color w:val="auto"/>
          <w:sz w:val="21"/>
          <w:szCs w:val="21"/>
        </w:rPr>
        <w:t>勘察文件错误责任</w:t>
      </w:r>
    </w:p>
    <w:p>
      <w:pPr>
        <w:pStyle w:val="60"/>
        <w:shd w:val="clear" w:color="auto" w:fill="auto"/>
        <w:spacing w:before="0" w:after="0" w:line="480"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9.2.1</w:t>
      </w:r>
      <w:r>
        <w:rPr>
          <w:rFonts w:hint="eastAsia" w:ascii="宋体" w:hAnsi="宋体" w:eastAsia="宋体" w:cs="宋体"/>
          <w:color w:val="auto"/>
          <w:sz w:val="21"/>
          <w:szCs w:val="21"/>
        </w:rPr>
        <w:t>勘察文件存在错误、遗漏、含混、矛盾、不充分之处或其他缺陷，无论勘察人是否通过了发包人审查或审查机构审查，勘察人均应自费对前述问题带来的缺陷和工程问题进行改正，但因第</w:t>
      </w:r>
      <w:r>
        <w:rPr>
          <w:rStyle w:val="67"/>
          <w:rFonts w:ascii="宋体" w:hAnsi="宋体" w:eastAsia="宋体" w:cs="宋体"/>
          <w:color w:val="auto"/>
          <w:sz w:val="21"/>
          <w:szCs w:val="21"/>
          <w:lang w:eastAsia="zh-CN"/>
        </w:rPr>
        <w:t>1</w:t>
      </w:r>
      <w:r>
        <w:rPr>
          <w:rStyle w:val="68"/>
          <w:rFonts w:ascii="宋体" w:hAnsi="宋体" w:eastAsia="宋体" w:cs="宋体"/>
          <w:color w:val="auto"/>
          <w:sz w:val="21"/>
          <w:szCs w:val="21"/>
          <w:lang w:eastAsia="zh-CN"/>
        </w:rPr>
        <w:t>.</w:t>
      </w:r>
      <w:r>
        <w:rPr>
          <w:rStyle w:val="67"/>
          <w:rFonts w:ascii="宋体" w:hAnsi="宋体" w:eastAsia="宋体" w:cs="宋体"/>
          <w:color w:val="auto"/>
          <w:sz w:val="21"/>
          <w:szCs w:val="21"/>
          <w:lang w:eastAsia="zh-CN"/>
        </w:rPr>
        <w:t>6.2</w:t>
      </w:r>
      <w:r>
        <w:rPr>
          <w:rFonts w:hint="eastAsia" w:ascii="宋体" w:hAnsi="宋体" w:eastAsia="宋体" w:cs="宋体"/>
          <w:color w:val="auto"/>
          <w:sz w:val="21"/>
          <w:szCs w:val="21"/>
        </w:rPr>
        <w:t>项约定由发包人提供的文件错误导致的除外。</w:t>
      </w:r>
    </w:p>
    <w:p>
      <w:pPr>
        <w:pStyle w:val="60"/>
        <w:shd w:val="clear" w:color="auto" w:fill="auto"/>
        <w:spacing w:before="0" w:after="0" w:line="480"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9.2.2</w:t>
      </w:r>
      <w:r>
        <w:rPr>
          <w:rFonts w:hint="eastAsia" w:ascii="宋体" w:hAnsi="宋体" w:eastAsia="宋体" w:cs="宋体"/>
          <w:color w:val="auto"/>
          <w:sz w:val="21"/>
          <w:szCs w:val="21"/>
        </w:rPr>
        <w:t>因勘察人原因造成勘察文件不合格的，发包人有权要求勘察人采取补救措施，直至达到合同要求的质量标准，并按第</w:t>
      </w:r>
      <w:r>
        <w:rPr>
          <w:rFonts w:ascii="宋体" w:hAnsi="宋体" w:eastAsia="宋体" w:cs="宋体"/>
          <w:color w:val="auto"/>
          <w:sz w:val="21"/>
          <w:szCs w:val="21"/>
        </w:rPr>
        <w:t>14.1</w:t>
      </w:r>
      <w:r>
        <w:rPr>
          <w:rFonts w:hint="eastAsia" w:ascii="宋体" w:hAnsi="宋体" w:eastAsia="宋体" w:cs="宋体"/>
          <w:color w:val="auto"/>
          <w:sz w:val="21"/>
          <w:szCs w:val="21"/>
        </w:rPr>
        <w:t>款的约定承担责任。</w:t>
      </w:r>
    </w:p>
    <w:p>
      <w:pPr>
        <w:pStyle w:val="60"/>
        <w:shd w:val="clear" w:color="auto" w:fill="auto"/>
        <w:spacing w:before="0" w:after="0" w:line="480"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9.2.3</w:t>
      </w:r>
      <w:r>
        <w:rPr>
          <w:rFonts w:hint="eastAsia" w:ascii="宋体" w:hAnsi="宋体" w:eastAsia="宋体" w:cs="宋体"/>
          <w:color w:val="auto"/>
          <w:sz w:val="21"/>
          <w:szCs w:val="21"/>
        </w:rPr>
        <w:t>因发包人原因造成勘察文件不合格的，勘察人应当采取补救措施，直至达到合同要求的质量标准，由此造成的勘察费用增加和（或）勘察服务期限延误由发包人承担。</w:t>
      </w:r>
    </w:p>
    <w:p>
      <w:pPr>
        <w:pStyle w:val="69"/>
        <w:shd w:val="clear" w:color="auto" w:fill="auto"/>
        <w:spacing w:before="0" w:line="480"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9.3</w:t>
      </w:r>
      <w:r>
        <w:rPr>
          <w:rFonts w:hint="eastAsia" w:ascii="宋体" w:hAnsi="宋体" w:eastAsia="宋体" w:cs="宋体"/>
          <w:color w:val="auto"/>
          <w:sz w:val="21"/>
          <w:szCs w:val="21"/>
        </w:rPr>
        <w:t>勘察责任主体</w:t>
      </w:r>
    </w:p>
    <w:p>
      <w:pPr>
        <w:pStyle w:val="60"/>
        <w:shd w:val="clear" w:color="auto" w:fill="auto"/>
        <w:spacing w:before="0" w:after="0" w:line="480"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9.3.1</w:t>
      </w:r>
      <w:r>
        <w:rPr>
          <w:rFonts w:hint="eastAsia" w:ascii="宋体" w:hAnsi="宋体" w:eastAsia="宋体" w:cs="宋体"/>
          <w:color w:val="auto"/>
          <w:sz w:val="21"/>
          <w:szCs w:val="21"/>
        </w:rPr>
        <w:t>勘察人应运用一切合理的专业技术、知识技能和项目经验，按照职业道德准则和行业公认标准尽其全部职责，勤勉、谨慎、公正地履行其在本合同项下的责任和义务。</w:t>
      </w:r>
    </w:p>
    <w:p>
      <w:pPr>
        <w:pStyle w:val="60"/>
        <w:shd w:val="clear" w:color="auto" w:fill="auto"/>
        <w:spacing w:before="0" w:after="0" w:line="480"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9.3.2</w:t>
      </w:r>
      <w:r>
        <w:rPr>
          <w:rFonts w:hint="eastAsia" w:ascii="宋体" w:hAnsi="宋体" w:eastAsia="宋体" w:cs="宋体"/>
          <w:color w:val="auto"/>
          <w:sz w:val="21"/>
          <w:szCs w:val="21"/>
        </w:rPr>
        <w:t>本工程施行质量责任终身制。勘察人应书面明确相应的项目负责人和质量负责人。勘察人的相关人员按照国家法律法规和有关规定在工程合理使用年限内承担相应的质量责任。</w:t>
      </w:r>
    </w:p>
    <w:p>
      <w:pPr>
        <w:pStyle w:val="60"/>
        <w:shd w:val="clear" w:color="auto" w:fill="auto"/>
        <w:spacing w:before="0" w:after="0" w:line="480"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9.3.</w:t>
      </w:r>
      <w:r>
        <w:rPr>
          <w:rFonts w:hint="eastAsia" w:ascii="宋体" w:hAnsi="宋体" w:eastAsia="宋体" w:cs="宋体"/>
          <w:color w:val="auto"/>
          <w:sz w:val="21"/>
          <w:szCs w:val="21"/>
        </w:rPr>
        <w:t>3本工程交工验收前，勘察人应对工程建设内容是否满足设计要求、是否达到使用功能等方面进行综合检查和分析评价，向发包人出具工程设计符合性评价意见。</w:t>
      </w:r>
    </w:p>
    <w:p>
      <w:pPr>
        <w:pStyle w:val="60"/>
        <w:shd w:val="clear" w:color="auto" w:fill="auto"/>
        <w:spacing w:before="0" w:after="0" w:line="480"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9.3.</w:t>
      </w:r>
      <w:r>
        <w:rPr>
          <w:rFonts w:hint="eastAsia" w:ascii="宋体" w:hAnsi="宋体" w:eastAsia="宋体" w:cs="宋体"/>
          <w:color w:val="auto"/>
          <w:sz w:val="21"/>
          <w:szCs w:val="21"/>
        </w:rPr>
        <w:t>4勘察人应依法规范分包行为，并对承担的工程质量负总责，分包单位对分包合同范围内的工程质量负责。</w:t>
      </w:r>
    </w:p>
    <w:p>
      <w:pPr>
        <w:pStyle w:val="64"/>
        <w:keepNext/>
        <w:keepLines/>
        <w:shd w:val="clear" w:color="auto" w:fill="auto"/>
        <w:spacing w:line="480" w:lineRule="exact"/>
        <w:ind w:firstLine="520"/>
        <w:rPr>
          <w:rFonts w:ascii="宋体" w:hAnsi="宋体" w:eastAsia="宋体" w:cs="Times New Roman"/>
          <w:color w:val="auto"/>
          <w:sz w:val="21"/>
          <w:szCs w:val="21"/>
        </w:rPr>
      </w:pPr>
      <w:bookmarkStart w:id="49" w:name="bookmark143"/>
      <w:r>
        <w:rPr>
          <w:rFonts w:ascii="宋体" w:hAnsi="宋体" w:eastAsia="宋体" w:cs="宋体"/>
          <w:color w:val="auto"/>
          <w:sz w:val="21"/>
          <w:szCs w:val="21"/>
        </w:rPr>
        <w:t>9.4</w:t>
      </w:r>
      <w:r>
        <w:rPr>
          <w:rFonts w:hint="eastAsia" w:ascii="宋体" w:hAnsi="宋体" w:eastAsia="宋体" w:cs="宋体"/>
          <w:color w:val="auto"/>
          <w:sz w:val="21"/>
          <w:szCs w:val="21"/>
        </w:rPr>
        <w:t>勘察责任保险</w:t>
      </w:r>
      <w:bookmarkEnd w:id="49"/>
    </w:p>
    <w:p>
      <w:pPr>
        <w:pStyle w:val="60"/>
        <w:shd w:val="clear" w:color="auto" w:fill="auto"/>
        <w:spacing w:before="0" w:after="0" w:line="480"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9.4.1</w:t>
      </w:r>
      <w:r>
        <w:rPr>
          <w:rFonts w:hint="eastAsia" w:ascii="宋体" w:hAnsi="宋体" w:eastAsia="宋体" w:cs="宋体"/>
          <w:color w:val="auto"/>
          <w:sz w:val="21"/>
          <w:szCs w:val="21"/>
        </w:rPr>
        <w:t>除专用合同条款另有约定外，勘察人应具有发包人认可的、履行本合同所需要的工程勘察责任险，于合同签订后</w:t>
      </w:r>
      <w:r>
        <w:rPr>
          <w:rFonts w:ascii="宋体" w:hAnsi="宋体" w:eastAsia="宋体" w:cs="宋体"/>
          <w:color w:val="auto"/>
          <w:sz w:val="21"/>
          <w:szCs w:val="21"/>
        </w:rPr>
        <w:t>28</w:t>
      </w:r>
      <w:r>
        <w:rPr>
          <w:rFonts w:hint="eastAsia" w:ascii="宋体" w:hAnsi="宋体" w:eastAsia="宋体" w:cs="宋体"/>
          <w:color w:val="auto"/>
          <w:sz w:val="21"/>
          <w:szCs w:val="21"/>
        </w:rPr>
        <w:t>天内向发包人提交工程勘察责任险的保险单副本或者其他有效证明，并在合同履行期间保持足额、有效。</w:t>
      </w:r>
    </w:p>
    <w:p>
      <w:pPr>
        <w:pStyle w:val="60"/>
        <w:shd w:val="clear" w:color="auto" w:fill="auto"/>
        <w:spacing w:before="0" w:after="0" w:line="480"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9.4.2</w:t>
      </w:r>
      <w:r>
        <w:rPr>
          <w:rFonts w:hint="eastAsia" w:ascii="宋体" w:hAnsi="宋体" w:eastAsia="宋体" w:cs="宋体"/>
          <w:color w:val="auto"/>
          <w:sz w:val="21"/>
          <w:szCs w:val="21"/>
        </w:rPr>
        <w:t>工程勘察责任险的保险范围，应当包括由于勘察人的疏忽或过失而造成的工程质量事故损失，以及由于事故引发的第三者人身伤亡、财产损失或费用赔偿等。</w:t>
      </w:r>
    </w:p>
    <w:p>
      <w:pPr>
        <w:pStyle w:val="60"/>
        <w:shd w:val="clear" w:color="auto" w:fill="auto"/>
        <w:spacing w:before="0" w:after="296" w:line="480"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9.4.3</w:t>
      </w:r>
      <w:r>
        <w:rPr>
          <w:rFonts w:hint="eastAsia" w:ascii="宋体" w:hAnsi="宋体" w:eastAsia="宋体" w:cs="宋体"/>
          <w:color w:val="auto"/>
          <w:sz w:val="21"/>
          <w:szCs w:val="21"/>
        </w:rPr>
        <w:t>发生工程勘察保险事故后，勘察人应按保险人要求进行报告，并负责办理保险理赔业务；保险金不足以补偿损失的，由勘察人自行补偿。</w:t>
      </w:r>
    </w:p>
    <w:p>
      <w:pPr>
        <w:pStyle w:val="70"/>
        <w:keepNext/>
        <w:keepLines/>
        <w:numPr>
          <w:ilvl w:val="0"/>
          <w:numId w:val="2"/>
        </w:numPr>
        <w:shd w:val="clear" w:color="auto" w:fill="auto"/>
        <w:spacing w:before="0" w:after="144"/>
        <w:jc w:val="left"/>
        <w:rPr>
          <w:rFonts w:ascii="宋体" w:hAnsi="宋体" w:eastAsia="宋体" w:cs="Times New Roman"/>
          <w:color w:val="auto"/>
          <w:sz w:val="21"/>
          <w:szCs w:val="21"/>
        </w:rPr>
      </w:pPr>
      <w:bookmarkStart w:id="50" w:name="bookmark144"/>
      <w:r>
        <w:rPr>
          <w:rStyle w:val="71"/>
          <w:rFonts w:hint="eastAsia" w:ascii="宋体" w:hAnsi="宋体" w:eastAsia="宋体" w:cs="宋体"/>
          <w:color w:val="auto"/>
          <w:sz w:val="21"/>
          <w:szCs w:val="21"/>
        </w:rPr>
        <w:t>招标和施工期间配合</w:t>
      </w:r>
      <w:bookmarkEnd w:id="50"/>
    </w:p>
    <w:p>
      <w:pPr>
        <w:pStyle w:val="64"/>
        <w:keepNext/>
        <w:keepLines/>
        <w:shd w:val="clear" w:color="auto" w:fill="auto"/>
        <w:spacing w:line="480" w:lineRule="exact"/>
        <w:ind w:firstLine="520"/>
        <w:rPr>
          <w:rFonts w:ascii="宋体" w:hAnsi="宋体" w:eastAsia="宋体" w:cs="Times New Roman"/>
          <w:color w:val="auto"/>
          <w:sz w:val="21"/>
          <w:szCs w:val="21"/>
        </w:rPr>
      </w:pPr>
      <w:bookmarkStart w:id="51" w:name="bookmark145"/>
      <w:r>
        <w:rPr>
          <w:rFonts w:ascii="宋体" w:hAnsi="宋体" w:eastAsia="宋体" w:cs="宋体"/>
          <w:color w:val="auto"/>
          <w:sz w:val="21"/>
          <w:szCs w:val="21"/>
          <w:lang w:eastAsia="en-US"/>
        </w:rPr>
        <w:t>10.1</w:t>
      </w:r>
      <w:r>
        <w:rPr>
          <w:rFonts w:hint="eastAsia" w:ascii="宋体" w:hAnsi="宋体" w:eastAsia="宋体" w:cs="宋体"/>
          <w:color w:val="auto"/>
          <w:sz w:val="21"/>
          <w:szCs w:val="21"/>
        </w:rPr>
        <w:t>招标期间配合</w:t>
      </w:r>
      <w:bookmarkEnd w:id="51"/>
    </w:p>
    <w:p>
      <w:pPr>
        <w:pStyle w:val="60"/>
        <w:shd w:val="clear" w:color="auto" w:fill="auto"/>
        <w:spacing w:before="0" w:after="0" w:line="480"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10.1.1</w:t>
      </w:r>
      <w:r>
        <w:rPr>
          <w:rFonts w:hint="eastAsia" w:ascii="宋体" w:hAnsi="宋体" w:eastAsia="宋体" w:cs="宋体"/>
          <w:color w:val="auto"/>
          <w:sz w:val="21"/>
          <w:szCs w:val="21"/>
        </w:rPr>
        <w:t>招标配合指勘察人配合发包人进行各项招标工作。</w:t>
      </w:r>
    </w:p>
    <w:p>
      <w:pPr>
        <w:pStyle w:val="60"/>
        <w:shd w:val="clear" w:color="auto" w:fill="auto"/>
        <w:spacing w:before="0" w:after="0" w:line="480"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10.1.2</w:t>
      </w:r>
      <w:r>
        <w:rPr>
          <w:rFonts w:hint="eastAsia" w:ascii="宋体" w:hAnsi="宋体" w:eastAsia="宋体" w:cs="宋体"/>
          <w:color w:val="auto"/>
          <w:sz w:val="21"/>
          <w:szCs w:val="21"/>
        </w:rPr>
        <w:t>招标人应按发包人规定的时间提供各标段施工招标资审所需的工程数量和工程说明；按发包人规定的时间提供各标段的施工招标图纸、工程量清单和参考资料；按发包人要求安排相关人员参加标前会，就有关勘察问题进行答疑。</w:t>
      </w:r>
    </w:p>
    <w:p>
      <w:pPr>
        <w:pStyle w:val="64"/>
        <w:keepNext/>
        <w:keepLines/>
        <w:shd w:val="clear" w:color="auto" w:fill="auto"/>
        <w:spacing w:line="480" w:lineRule="exact"/>
        <w:ind w:firstLine="520"/>
        <w:rPr>
          <w:rFonts w:ascii="宋体" w:hAnsi="宋体" w:eastAsia="宋体" w:cs="Times New Roman"/>
          <w:color w:val="auto"/>
          <w:sz w:val="21"/>
          <w:szCs w:val="21"/>
        </w:rPr>
      </w:pPr>
      <w:bookmarkStart w:id="52" w:name="bookmark146"/>
      <w:r>
        <w:rPr>
          <w:rFonts w:ascii="宋体" w:hAnsi="宋体" w:eastAsia="宋体" w:cs="宋体"/>
          <w:color w:val="auto"/>
          <w:sz w:val="21"/>
          <w:szCs w:val="21"/>
        </w:rPr>
        <w:t>10.2</w:t>
      </w:r>
      <w:r>
        <w:rPr>
          <w:rFonts w:hint="eastAsia" w:ascii="宋体" w:hAnsi="宋体" w:eastAsia="宋体" w:cs="宋体"/>
          <w:color w:val="auto"/>
          <w:sz w:val="21"/>
          <w:szCs w:val="21"/>
        </w:rPr>
        <w:t>施工期间配合</w:t>
      </w:r>
      <w:bookmarkEnd w:id="52"/>
    </w:p>
    <w:p>
      <w:pPr>
        <w:pStyle w:val="60"/>
        <w:shd w:val="clear" w:color="auto" w:fill="auto"/>
        <w:spacing w:before="0" w:after="0" w:line="480"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10.2.1</w:t>
      </w:r>
      <w:r>
        <w:rPr>
          <w:rFonts w:hint="eastAsia" w:ascii="宋体" w:hAnsi="宋体" w:eastAsia="宋体" w:cs="宋体"/>
          <w:color w:val="auto"/>
          <w:sz w:val="21"/>
          <w:szCs w:val="21"/>
        </w:rPr>
        <w:t>施工配合指勘察人配合施工承包人，在施工期间提供的补充勘察或其他配合工作，直至工程通过竣工验收为止。</w:t>
      </w:r>
    </w:p>
    <w:p>
      <w:pPr>
        <w:pStyle w:val="60"/>
        <w:shd w:val="clear" w:color="auto" w:fill="auto"/>
        <w:spacing w:before="0" w:after="0" w:line="480"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10.2.2</w:t>
      </w:r>
      <w:r>
        <w:rPr>
          <w:rFonts w:hint="eastAsia" w:ascii="宋体" w:hAnsi="宋体" w:eastAsia="宋体" w:cs="宋体"/>
          <w:color w:val="auto"/>
          <w:sz w:val="21"/>
          <w:szCs w:val="21"/>
        </w:rPr>
        <w:t>除专用合同条款另有约定外，发包人应为勘察人派赴施工现场的工作人员，在施工期间提供办公房间、办公桌椅、互联网接口、冷暖设施、生活设施、进出现场交通服务和其他便利条件。</w:t>
      </w:r>
    </w:p>
    <w:p>
      <w:pPr>
        <w:pStyle w:val="60"/>
        <w:shd w:val="clear" w:color="auto" w:fill="auto"/>
        <w:spacing w:before="0" w:after="0" w:line="480"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10.2.3</w:t>
      </w:r>
      <w:r>
        <w:rPr>
          <w:rFonts w:hint="eastAsia" w:ascii="宋体" w:hAnsi="宋体" w:eastAsia="宋体" w:cs="宋体"/>
          <w:color w:val="auto"/>
          <w:sz w:val="21"/>
          <w:szCs w:val="21"/>
        </w:rPr>
        <w:t>勘察人应在本工程的施工期间，积极提供勘察配合服务，包括并不限于设计施工现场服务、参与施工过程验收、参与工程交工验收、参与工程竣工验收等工作。</w:t>
      </w:r>
    </w:p>
    <w:p>
      <w:pPr>
        <w:pStyle w:val="60"/>
        <w:shd w:val="clear" w:color="auto" w:fill="auto"/>
        <w:spacing w:before="0" w:after="0" w:line="480"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10.2.4</w:t>
      </w:r>
      <w:r>
        <w:rPr>
          <w:rFonts w:hint="eastAsia" w:ascii="宋体" w:hAnsi="宋体" w:eastAsia="宋体" w:cs="宋体"/>
          <w:color w:val="auto"/>
          <w:sz w:val="21"/>
          <w:szCs w:val="21"/>
        </w:rPr>
        <w:t>工程施工完毕后，发包人应当按有关规定组织工程交工验收和工程竣工验收，勘察人参加验收并出具本单位的验收结论。如因勘察原因致使工程不合格的，勘察人应当承担违约责任，免费修改勘察文件和赔偿发包人由此产生的经济损失。</w:t>
      </w:r>
    </w:p>
    <w:p>
      <w:pPr>
        <w:pStyle w:val="60"/>
        <w:shd w:val="clear" w:color="auto" w:fill="auto"/>
        <w:tabs>
          <w:tab w:val="left" w:pos="1130"/>
        </w:tabs>
        <w:spacing w:before="0" w:after="0" w:line="480" w:lineRule="exact"/>
        <w:ind w:firstLine="630" w:firstLineChars="300"/>
        <w:jc w:val="left"/>
        <w:rPr>
          <w:rFonts w:ascii="宋体" w:hAnsi="宋体" w:eastAsia="宋体" w:cs="Times New Roman"/>
          <w:color w:val="auto"/>
          <w:sz w:val="21"/>
          <w:szCs w:val="21"/>
        </w:rPr>
      </w:pPr>
      <w:r>
        <w:rPr>
          <w:rFonts w:ascii="宋体" w:hAnsi="宋体" w:eastAsia="宋体" w:cs="宋体"/>
          <w:color w:val="auto"/>
          <w:sz w:val="21"/>
          <w:szCs w:val="21"/>
        </w:rPr>
        <w:t>10.2.5</w:t>
      </w:r>
      <w:r>
        <w:rPr>
          <w:rFonts w:hint="eastAsia" w:ascii="宋体" w:hAnsi="宋体" w:eastAsia="宋体" w:cs="宋体"/>
          <w:color w:val="auto"/>
          <w:sz w:val="21"/>
          <w:szCs w:val="21"/>
        </w:rPr>
        <w:t>勘察人应在施工现场设立代表处或派驻经验丰富的勘察代表常驻施工现场，做好施工现场服务。</w:t>
      </w:r>
    </w:p>
    <w:p>
      <w:pPr>
        <w:pStyle w:val="60"/>
        <w:shd w:val="clear" w:color="auto" w:fill="auto"/>
        <w:spacing w:before="0" w:after="0" w:line="480" w:lineRule="exact"/>
        <w:ind w:firstLine="520"/>
        <w:jc w:val="left"/>
        <w:rPr>
          <w:rFonts w:ascii="宋体" w:hAnsi="宋体" w:eastAsia="宋体" w:cs="Times New Roman"/>
          <w:color w:val="auto"/>
          <w:sz w:val="21"/>
          <w:szCs w:val="21"/>
        </w:rPr>
      </w:pPr>
      <w:r>
        <w:rPr>
          <w:rFonts w:hint="eastAsia" w:ascii="宋体" w:hAnsi="宋体" w:eastAsia="宋体" w:cs="宋体"/>
          <w:color w:val="auto"/>
          <w:sz w:val="21"/>
          <w:szCs w:val="21"/>
        </w:rPr>
        <w:t>发包人对设计代表的数量和资历条件有特定要求的，在专用合同条款中约定。勘察人应按发包人提出的要求派驻设计代表，否则按违约处理。</w:t>
      </w:r>
    </w:p>
    <w:p>
      <w:pPr>
        <w:pStyle w:val="60"/>
        <w:shd w:val="clear" w:color="auto" w:fill="auto"/>
        <w:spacing w:before="0" w:after="0" w:line="480" w:lineRule="exact"/>
        <w:ind w:firstLine="520"/>
        <w:jc w:val="both"/>
        <w:rPr>
          <w:rFonts w:ascii="宋体" w:hAnsi="宋体" w:eastAsia="宋体" w:cs="Times New Roman"/>
          <w:color w:val="auto"/>
          <w:sz w:val="21"/>
          <w:szCs w:val="21"/>
        </w:rPr>
      </w:pPr>
      <w:r>
        <w:rPr>
          <w:rFonts w:hint="eastAsia" w:ascii="宋体" w:hAnsi="宋体" w:eastAsia="宋体" w:cs="宋体"/>
          <w:color w:val="auto"/>
          <w:sz w:val="21"/>
          <w:szCs w:val="21"/>
        </w:rPr>
        <w:t>若发包人在工作中发现设计代表不称职或有违法行为时，有权提出更换，勘察人应在发包人提出更换通知的</w:t>
      </w:r>
      <w:r>
        <w:rPr>
          <w:rFonts w:ascii="宋体" w:hAnsi="宋体" w:eastAsia="宋体" w:cs="宋体"/>
          <w:color w:val="auto"/>
          <w:sz w:val="21"/>
          <w:szCs w:val="21"/>
        </w:rPr>
        <w:t>7</w:t>
      </w:r>
      <w:r>
        <w:rPr>
          <w:rFonts w:hint="eastAsia" w:ascii="宋体" w:hAnsi="宋体" w:eastAsia="宋体" w:cs="宋体"/>
          <w:color w:val="auto"/>
          <w:sz w:val="21"/>
          <w:szCs w:val="21"/>
        </w:rPr>
        <w:t>天内完成更换工作并使发包人满意。</w:t>
      </w:r>
    </w:p>
    <w:p>
      <w:pPr>
        <w:pStyle w:val="60"/>
        <w:shd w:val="clear" w:color="auto" w:fill="auto"/>
        <w:spacing w:before="0" w:after="39" w:line="480"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10.2.7</w:t>
      </w:r>
      <w:r>
        <w:rPr>
          <w:rFonts w:hint="eastAsia" w:ascii="宋体" w:hAnsi="宋体" w:eastAsia="宋体" w:cs="宋体"/>
          <w:color w:val="auto"/>
          <w:sz w:val="21"/>
          <w:szCs w:val="21"/>
        </w:rPr>
        <w:t>本项目设计变更的勘察由勘察人承担，勘察人应及时完成勘察，提交勘察变更文件，并对勘察变更文件承担相应责任。除本合同第</w:t>
      </w:r>
      <w:r>
        <w:rPr>
          <w:rFonts w:ascii="宋体" w:hAnsi="宋体" w:eastAsia="宋体" w:cs="宋体"/>
          <w:color w:val="auto"/>
          <w:sz w:val="21"/>
          <w:szCs w:val="21"/>
        </w:rPr>
        <w:t>11</w:t>
      </w:r>
      <w:r>
        <w:rPr>
          <w:rFonts w:hint="eastAsia" w:ascii="宋体" w:hAnsi="宋体" w:eastAsia="宋体" w:cs="宋体"/>
          <w:color w:val="auto"/>
          <w:sz w:val="21"/>
          <w:szCs w:val="21"/>
        </w:rPr>
        <w:t>条规定之外的设计变更，其勘察费用应视为己含入合同价格中，发包人不再另行支付。所有勘察变更必须提供预算金额并由设计代表签字确认。</w:t>
      </w:r>
    </w:p>
    <w:p>
      <w:pPr>
        <w:pStyle w:val="69"/>
        <w:numPr>
          <w:ilvl w:val="0"/>
          <w:numId w:val="2"/>
        </w:numPr>
        <w:shd w:val="clear" w:color="auto" w:fill="auto"/>
        <w:tabs>
          <w:tab w:val="left" w:pos="488"/>
        </w:tabs>
        <w:spacing w:before="0" w:line="581" w:lineRule="exact"/>
        <w:ind w:left="520" w:right="6720" w:hanging="520"/>
        <w:jc w:val="left"/>
        <w:rPr>
          <w:rFonts w:ascii="宋体" w:hAnsi="宋体" w:eastAsia="宋体" w:cs="Times New Roman"/>
          <w:color w:val="auto"/>
          <w:sz w:val="21"/>
          <w:szCs w:val="21"/>
        </w:rPr>
      </w:pPr>
      <w:r>
        <w:rPr>
          <w:rStyle w:val="72"/>
          <w:rFonts w:hint="eastAsia" w:ascii="宋体" w:hAnsi="宋体" w:eastAsia="宋体" w:cs="宋体"/>
          <w:b w:val="0"/>
          <w:bCs w:val="0"/>
          <w:color w:val="auto"/>
          <w:sz w:val="21"/>
          <w:szCs w:val="21"/>
        </w:rPr>
        <w:t>合同变更</w:t>
      </w:r>
    </w:p>
    <w:p>
      <w:pPr>
        <w:pStyle w:val="69"/>
        <w:shd w:val="clear" w:color="auto" w:fill="auto"/>
        <w:tabs>
          <w:tab w:val="left" w:pos="488"/>
        </w:tabs>
        <w:spacing w:before="0" w:line="581" w:lineRule="exact"/>
        <w:ind w:right="6720"/>
        <w:jc w:val="left"/>
        <w:rPr>
          <w:rFonts w:ascii="宋体" w:hAnsi="宋体" w:eastAsia="宋体" w:cs="Times New Roman"/>
          <w:color w:val="auto"/>
          <w:sz w:val="21"/>
          <w:szCs w:val="21"/>
        </w:rPr>
      </w:pPr>
      <w:r>
        <w:rPr>
          <w:rFonts w:ascii="宋体" w:hAnsi="宋体" w:eastAsia="宋体" w:cs="宋体"/>
          <w:color w:val="auto"/>
          <w:sz w:val="21"/>
          <w:szCs w:val="21"/>
          <w:lang w:eastAsia="en-US"/>
        </w:rPr>
        <w:t>11.1</w:t>
      </w:r>
      <w:r>
        <w:rPr>
          <w:rFonts w:hint="eastAsia" w:ascii="宋体" w:hAnsi="宋体" w:eastAsia="宋体" w:cs="宋体"/>
          <w:color w:val="auto"/>
          <w:sz w:val="21"/>
          <w:szCs w:val="21"/>
        </w:rPr>
        <w:t>变更情形</w:t>
      </w:r>
    </w:p>
    <w:p>
      <w:pPr>
        <w:pStyle w:val="60"/>
        <w:shd w:val="clear" w:color="auto" w:fill="auto"/>
        <w:spacing w:before="0" w:after="0" w:line="482"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11.1.1</w:t>
      </w:r>
      <w:r>
        <w:rPr>
          <w:rFonts w:hint="eastAsia" w:ascii="宋体" w:hAnsi="宋体" w:eastAsia="宋体" w:cs="宋体"/>
          <w:color w:val="auto"/>
          <w:sz w:val="21"/>
          <w:szCs w:val="21"/>
        </w:rPr>
        <w:t>合同履行中发生下述情形时，合同一方均可向对方提出变更请求，经双方协商一致后进行变更，勘察服务期限和勘察费用的调整方法在专用合同条款中约定。</w:t>
      </w:r>
    </w:p>
    <w:p>
      <w:pPr>
        <w:pStyle w:val="60"/>
        <w:numPr>
          <w:ilvl w:val="0"/>
          <w:numId w:val="14"/>
        </w:numPr>
        <w:shd w:val="clear" w:color="auto" w:fill="auto"/>
        <w:tabs>
          <w:tab w:val="left" w:pos="1166"/>
        </w:tabs>
        <w:spacing w:before="0" w:after="0" w:line="482" w:lineRule="exact"/>
        <w:ind w:left="640" w:firstLine="0"/>
        <w:jc w:val="left"/>
        <w:rPr>
          <w:rFonts w:ascii="宋体" w:hAnsi="宋体" w:eastAsia="宋体" w:cs="Times New Roman"/>
          <w:color w:val="auto"/>
          <w:sz w:val="21"/>
          <w:szCs w:val="21"/>
        </w:rPr>
      </w:pPr>
      <w:r>
        <w:rPr>
          <w:rFonts w:hint="eastAsia" w:ascii="宋体" w:hAnsi="宋体" w:eastAsia="宋体" w:cs="宋体"/>
          <w:color w:val="auto"/>
          <w:sz w:val="21"/>
          <w:szCs w:val="21"/>
        </w:rPr>
        <w:t>勘察范围发生变化；</w:t>
      </w:r>
    </w:p>
    <w:p>
      <w:pPr>
        <w:pStyle w:val="60"/>
        <w:numPr>
          <w:ilvl w:val="0"/>
          <w:numId w:val="14"/>
        </w:numPr>
        <w:shd w:val="clear" w:color="auto" w:fill="auto"/>
        <w:tabs>
          <w:tab w:val="left" w:pos="1169"/>
        </w:tabs>
        <w:spacing w:before="0" w:after="0" w:line="482" w:lineRule="exact"/>
        <w:ind w:left="640" w:firstLine="0"/>
        <w:jc w:val="left"/>
        <w:rPr>
          <w:rFonts w:ascii="宋体" w:hAnsi="宋体" w:eastAsia="宋体" w:cs="Times New Roman"/>
          <w:color w:val="auto"/>
          <w:sz w:val="21"/>
          <w:szCs w:val="21"/>
        </w:rPr>
      </w:pPr>
      <w:r>
        <w:rPr>
          <w:rFonts w:hint="eastAsia" w:ascii="宋体" w:hAnsi="宋体" w:eastAsia="宋体" w:cs="宋体"/>
          <w:color w:val="auto"/>
          <w:sz w:val="21"/>
          <w:szCs w:val="21"/>
        </w:rPr>
        <w:t>除不可抗力外，非勘察人的原因引起的周期延误；</w:t>
      </w:r>
    </w:p>
    <w:p>
      <w:pPr>
        <w:pStyle w:val="60"/>
        <w:numPr>
          <w:ilvl w:val="0"/>
          <w:numId w:val="14"/>
        </w:numPr>
        <w:shd w:val="clear" w:color="auto" w:fill="auto"/>
        <w:tabs>
          <w:tab w:val="left" w:pos="1169"/>
        </w:tabs>
        <w:spacing w:before="0" w:after="0" w:line="482" w:lineRule="exact"/>
        <w:ind w:left="640" w:firstLine="0"/>
        <w:jc w:val="left"/>
        <w:rPr>
          <w:rFonts w:ascii="宋体" w:hAnsi="宋体" w:eastAsia="宋体" w:cs="Times New Roman"/>
          <w:color w:val="auto"/>
          <w:sz w:val="21"/>
          <w:szCs w:val="21"/>
        </w:rPr>
      </w:pPr>
      <w:r>
        <w:rPr>
          <w:rFonts w:hint="eastAsia" w:ascii="宋体" w:hAnsi="宋体" w:eastAsia="宋体" w:cs="宋体"/>
          <w:color w:val="auto"/>
          <w:sz w:val="21"/>
          <w:szCs w:val="21"/>
        </w:rPr>
        <w:t>非勘察人的原因，对工程同一部分重复进行勘察；</w:t>
      </w:r>
    </w:p>
    <w:p>
      <w:pPr>
        <w:pStyle w:val="60"/>
        <w:numPr>
          <w:ilvl w:val="0"/>
          <w:numId w:val="14"/>
        </w:numPr>
        <w:shd w:val="clear" w:color="auto" w:fill="auto"/>
        <w:tabs>
          <w:tab w:val="left" w:pos="1169"/>
        </w:tabs>
        <w:spacing w:before="0" w:after="0" w:line="482" w:lineRule="exact"/>
        <w:ind w:left="640" w:firstLine="0"/>
        <w:jc w:val="left"/>
        <w:rPr>
          <w:rFonts w:ascii="宋体" w:hAnsi="宋体" w:eastAsia="宋体" w:cs="Times New Roman"/>
          <w:color w:val="auto"/>
          <w:sz w:val="21"/>
          <w:szCs w:val="21"/>
        </w:rPr>
      </w:pPr>
      <w:r>
        <w:rPr>
          <w:rFonts w:hint="eastAsia" w:ascii="宋体" w:hAnsi="宋体" w:eastAsia="宋体" w:cs="宋体"/>
          <w:color w:val="auto"/>
          <w:sz w:val="21"/>
          <w:szCs w:val="21"/>
        </w:rPr>
        <w:t>非勘察人的原因，对工程暂停勘察及恢复勘察。</w:t>
      </w:r>
    </w:p>
    <w:p>
      <w:pPr>
        <w:pStyle w:val="60"/>
        <w:shd w:val="clear" w:color="auto" w:fill="auto"/>
        <w:spacing w:before="0" w:after="0" w:line="482"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11.1.2</w:t>
      </w:r>
      <w:r>
        <w:rPr>
          <w:rFonts w:hint="eastAsia" w:ascii="宋体" w:hAnsi="宋体" w:eastAsia="宋体" w:cs="宋体"/>
          <w:color w:val="auto"/>
          <w:sz w:val="21"/>
          <w:szCs w:val="21"/>
        </w:rPr>
        <w:t>基准日后，因颁布新的或修订原有法律、法规、规范和标准等引发合同变更情形的，按照上述约定进行调整。</w:t>
      </w:r>
    </w:p>
    <w:p>
      <w:pPr>
        <w:pStyle w:val="69"/>
        <w:shd w:val="clear" w:color="auto" w:fill="auto"/>
        <w:spacing w:before="0" w:line="482"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11.2</w:t>
      </w:r>
      <w:r>
        <w:rPr>
          <w:rFonts w:hint="eastAsia" w:ascii="宋体" w:hAnsi="宋体" w:eastAsia="宋体" w:cs="宋体"/>
          <w:color w:val="auto"/>
          <w:sz w:val="21"/>
          <w:szCs w:val="21"/>
        </w:rPr>
        <w:t>合理化建议</w:t>
      </w:r>
    </w:p>
    <w:p>
      <w:pPr>
        <w:pStyle w:val="60"/>
        <w:shd w:val="clear" w:color="auto" w:fill="auto"/>
        <w:spacing w:before="0" w:after="0" w:line="482"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11.2.1</w:t>
      </w:r>
      <w:r>
        <w:rPr>
          <w:rFonts w:hint="eastAsia" w:ascii="宋体" w:hAnsi="宋体" w:eastAsia="宋体" w:cs="宋体"/>
          <w:color w:val="auto"/>
          <w:sz w:val="21"/>
          <w:szCs w:val="21"/>
        </w:rPr>
        <w:t>合同履行中，勘察人可对发包人要求提出合理化建议。合理化建议应以书面形式提交发包人，被发包人采纳并构成变更的，执行第</w:t>
      </w:r>
      <w:r>
        <w:rPr>
          <w:rFonts w:ascii="宋体" w:hAnsi="宋体" w:eastAsia="宋体" w:cs="宋体"/>
          <w:color w:val="auto"/>
          <w:sz w:val="21"/>
          <w:szCs w:val="21"/>
        </w:rPr>
        <w:t>11.1</w:t>
      </w:r>
      <w:r>
        <w:rPr>
          <w:rFonts w:hint="eastAsia" w:ascii="宋体" w:hAnsi="宋体" w:eastAsia="宋体" w:cs="宋体"/>
          <w:color w:val="auto"/>
          <w:sz w:val="21"/>
          <w:szCs w:val="21"/>
        </w:rPr>
        <w:t>款约定。</w:t>
      </w:r>
    </w:p>
    <w:p>
      <w:pPr>
        <w:pStyle w:val="60"/>
        <w:shd w:val="clear" w:color="auto" w:fill="auto"/>
        <w:spacing w:before="0" w:after="45" w:line="482"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11.2.2</w:t>
      </w:r>
      <w:r>
        <w:rPr>
          <w:rFonts w:hint="eastAsia" w:ascii="宋体" w:hAnsi="宋体" w:eastAsia="宋体" w:cs="宋体"/>
          <w:color w:val="auto"/>
          <w:sz w:val="21"/>
          <w:szCs w:val="21"/>
        </w:rPr>
        <w:t>勘察人提出的合理化建议降低了工程投资、缩短了施工期限或者提高了工程经济效益的，发包人应按专用合同条款中的约定给予奖励。</w:t>
      </w:r>
    </w:p>
    <w:p>
      <w:pPr>
        <w:pStyle w:val="62"/>
        <w:numPr>
          <w:ilvl w:val="0"/>
          <w:numId w:val="2"/>
        </w:numPr>
        <w:shd w:val="clear" w:color="auto" w:fill="auto"/>
        <w:tabs>
          <w:tab w:val="left" w:pos="498"/>
        </w:tabs>
        <w:spacing w:before="0" w:after="0" w:line="576" w:lineRule="exact"/>
        <w:ind w:left="520" w:right="6240" w:hanging="520"/>
        <w:jc w:val="left"/>
        <w:rPr>
          <w:rFonts w:ascii="宋体" w:hAnsi="宋体" w:eastAsia="宋体" w:cs="Times New Roman"/>
          <w:color w:val="auto"/>
          <w:sz w:val="21"/>
          <w:szCs w:val="21"/>
        </w:rPr>
      </w:pPr>
      <w:r>
        <w:rPr>
          <w:rStyle w:val="63"/>
          <w:rFonts w:hint="eastAsia" w:ascii="宋体" w:hAnsi="宋体" w:eastAsia="宋体" w:cs="宋体"/>
          <w:color w:val="auto"/>
          <w:sz w:val="21"/>
          <w:szCs w:val="21"/>
        </w:rPr>
        <w:t>合同价格与支付</w:t>
      </w:r>
      <w:r>
        <w:rPr>
          <w:rStyle w:val="73"/>
          <w:rFonts w:ascii="宋体" w:hAnsi="宋体" w:eastAsia="宋体" w:cs="宋体"/>
          <w:color w:val="auto"/>
          <w:sz w:val="21"/>
          <w:szCs w:val="21"/>
          <w:lang w:val="en-US" w:eastAsia="en-US"/>
        </w:rPr>
        <w:t>12.1</w:t>
      </w:r>
      <w:r>
        <w:rPr>
          <w:rStyle w:val="73"/>
          <w:rFonts w:hint="eastAsia" w:ascii="宋体" w:hAnsi="宋体" w:eastAsia="宋体" w:cs="宋体"/>
          <w:color w:val="auto"/>
          <w:sz w:val="21"/>
          <w:szCs w:val="21"/>
        </w:rPr>
        <w:t>合同价格</w:t>
      </w:r>
    </w:p>
    <w:p>
      <w:pPr>
        <w:pStyle w:val="60"/>
        <w:shd w:val="clear" w:color="auto" w:fill="auto"/>
        <w:spacing w:before="0" w:after="0" w:line="480"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12.1.1</w:t>
      </w:r>
      <w:r>
        <w:rPr>
          <w:rFonts w:hint="eastAsia" w:ascii="宋体" w:hAnsi="宋体" w:eastAsia="宋体" w:cs="宋体"/>
          <w:color w:val="auto"/>
          <w:sz w:val="21"/>
          <w:szCs w:val="21"/>
        </w:rPr>
        <w:t>本合同的价款确定方式、调整方式和风险范围划分，在专用合同条款中约定。</w:t>
      </w:r>
    </w:p>
    <w:p>
      <w:pPr>
        <w:pStyle w:val="60"/>
        <w:shd w:val="clear" w:color="auto" w:fill="auto"/>
        <w:spacing w:before="0" w:after="0" w:line="480" w:lineRule="exact"/>
        <w:ind w:firstLine="520"/>
        <w:jc w:val="both"/>
        <w:rPr>
          <w:rFonts w:ascii="宋体" w:hAnsi="宋体" w:eastAsia="宋体" w:cs="Times New Roman"/>
          <w:color w:val="auto"/>
          <w:sz w:val="21"/>
          <w:szCs w:val="21"/>
        </w:rPr>
        <w:sectPr>
          <w:headerReference r:id="rId7" w:type="default"/>
          <w:footerReference r:id="rId9" w:type="default"/>
          <w:headerReference r:id="rId8" w:type="even"/>
          <w:footerReference r:id="rId10" w:type="even"/>
          <w:pgSz w:w="11900" w:h="16840"/>
          <w:pgMar w:top="1637" w:right="1510" w:bottom="1599" w:left="1572" w:header="0" w:footer="3" w:gutter="0"/>
          <w:cols w:space="720" w:num="1"/>
          <w:docGrid w:linePitch="360" w:charSpace="0"/>
        </w:sectPr>
      </w:pPr>
      <w:r>
        <w:rPr>
          <w:rFonts w:ascii="宋体" w:hAnsi="宋体" w:eastAsia="宋体" w:cs="宋体"/>
          <w:color w:val="auto"/>
          <w:sz w:val="21"/>
          <w:szCs w:val="21"/>
        </w:rPr>
        <w:t>12.1.2</w:t>
      </w:r>
      <w:r>
        <w:rPr>
          <w:rFonts w:hint="eastAsia" w:ascii="宋体" w:hAnsi="宋体" w:eastAsia="宋体" w:cs="宋体"/>
          <w:color w:val="auto"/>
          <w:sz w:val="21"/>
          <w:szCs w:val="21"/>
        </w:rPr>
        <w:t>勘察费用实行发包人签证制度，即勘察人完成勘察项目后通知发包人进行验收，通过验收后由发包人代表对实施的勘察项目、数量、质量和实施时间签字确认，以此作为计算勘察费用的依据之一。</w:t>
      </w:r>
    </w:p>
    <w:p>
      <w:pPr>
        <w:pStyle w:val="60"/>
        <w:shd w:val="clear" w:color="auto" w:fill="auto"/>
        <w:spacing w:before="0" w:after="0" w:line="480" w:lineRule="exact"/>
        <w:ind w:firstLine="520"/>
        <w:jc w:val="left"/>
        <w:rPr>
          <w:rFonts w:ascii="宋体" w:hAnsi="宋体" w:eastAsia="宋体" w:cs="Times New Roman"/>
          <w:color w:val="auto"/>
          <w:sz w:val="21"/>
          <w:szCs w:val="21"/>
        </w:rPr>
      </w:pPr>
      <w:r>
        <w:rPr>
          <w:rFonts w:ascii="宋体" w:hAnsi="宋体" w:eastAsia="宋体" w:cs="宋体"/>
          <w:color w:val="auto"/>
          <w:sz w:val="21"/>
          <w:szCs w:val="21"/>
        </w:rPr>
        <w:t>12.1.3</w:t>
      </w:r>
      <w:r>
        <w:rPr>
          <w:rFonts w:hint="eastAsia" w:ascii="宋体" w:hAnsi="宋体" w:eastAsia="宋体" w:cs="宋体"/>
          <w:color w:val="auto"/>
          <w:sz w:val="21"/>
          <w:szCs w:val="21"/>
        </w:rPr>
        <w:t>除专用合同条款另有约定外，合同价格应当包括收集资料，踏勘现场，制订纲要，进行测绘、勘探、取样、试验、测试、分析、设计、评估、审查等，编制勘察文件，招标与施工配合等全部费用和国家规定的各项税费。</w:t>
      </w:r>
    </w:p>
    <w:p>
      <w:pPr>
        <w:pStyle w:val="60"/>
        <w:shd w:val="clear" w:color="auto" w:fill="auto"/>
        <w:spacing w:before="0" w:after="0" w:line="480" w:lineRule="exact"/>
        <w:ind w:firstLine="520"/>
        <w:jc w:val="left"/>
        <w:rPr>
          <w:rFonts w:ascii="宋体" w:hAnsi="宋体" w:eastAsia="宋体" w:cs="Times New Roman"/>
          <w:color w:val="auto"/>
          <w:sz w:val="21"/>
          <w:szCs w:val="21"/>
        </w:rPr>
      </w:pPr>
      <w:r>
        <w:rPr>
          <w:rFonts w:ascii="宋体" w:hAnsi="宋体" w:eastAsia="宋体" w:cs="宋体"/>
          <w:color w:val="auto"/>
          <w:sz w:val="21"/>
          <w:szCs w:val="21"/>
        </w:rPr>
        <w:t>12.1.4</w:t>
      </w:r>
      <w:r>
        <w:rPr>
          <w:rFonts w:hint="eastAsia" w:ascii="宋体" w:hAnsi="宋体" w:eastAsia="宋体" w:cs="宋体"/>
          <w:color w:val="auto"/>
          <w:sz w:val="21"/>
          <w:szCs w:val="21"/>
        </w:rPr>
        <w:t>发包人要求勘察人进行外出考察、试验检测、专项咨询或专家评审时，相应费用不含在合同价格之中，由发包人另行支付。</w:t>
      </w:r>
    </w:p>
    <w:p>
      <w:pPr>
        <w:pStyle w:val="60"/>
        <w:shd w:val="clear" w:color="auto" w:fill="auto"/>
        <w:spacing w:before="0" w:after="0" w:line="480"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12.1.5</w:t>
      </w:r>
      <w:r>
        <w:rPr>
          <w:rFonts w:hint="eastAsia" w:ascii="宋体" w:hAnsi="宋体" w:eastAsia="宋体" w:cs="宋体"/>
          <w:color w:val="auto"/>
          <w:sz w:val="21"/>
          <w:szCs w:val="21"/>
        </w:rPr>
        <w:t>勘察人为联合体的，发包人应根据勘察工作进展向联合体牵头人支付勘察费用，由联合体牵头人根据联合体各成员及分包人（如有）实际完成的工作量及完成质量，向联合体各成员及分包人支付合同价款，由此发生的税费等费用统一包含在合同价格内，发包人不另行支付。联合体牵头人提出书面申请时，发包人也可直接向联合体各成员支付合同价款。</w:t>
      </w:r>
    </w:p>
    <w:p>
      <w:pPr>
        <w:pStyle w:val="60"/>
        <w:shd w:val="clear" w:color="auto" w:fill="auto"/>
        <w:spacing w:before="0" w:after="0" w:line="480"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12.1.6</w:t>
      </w:r>
      <w:r>
        <w:rPr>
          <w:rFonts w:hint="eastAsia" w:ascii="宋体" w:hAnsi="宋体" w:eastAsia="宋体" w:cs="宋体"/>
          <w:color w:val="auto"/>
          <w:sz w:val="21"/>
          <w:szCs w:val="21"/>
        </w:rPr>
        <w:t>发包人向勘察人实际支付的勘察费，将不高于初步设计审批概算中相应勘察设计费的审批额，除非勘察费审批额依法予以调整。勘察费超出审批额部分发包人将予以扣除，合同价格相应变更，不足部分发包人将不另行支付。</w:t>
      </w:r>
    </w:p>
    <w:p>
      <w:pPr>
        <w:pStyle w:val="64"/>
        <w:keepNext/>
        <w:keepLines/>
        <w:shd w:val="clear" w:color="auto" w:fill="auto"/>
        <w:spacing w:line="480" w:lineRule="exact"/>
        <w:ind w:firstLine="520"/>
        <w:rPr>
          <w:rFonts w:ascii="宋体" w:hAnsi="宋体" w:eastAsia="宋体" w:cs="Times New Roman"/>
          <w:color w:val="auto"/>
          <w:sz w:val="21"/>
          <w:szCs w:val="21"/>
        </w:rPr>
      </w:pPr>
      <w:bookmarkStart w:id="53" w:name="bookmark147"/>
      <w:r>
        <w:rPr>
          <w:rFonts w:ascii="宋体" w:hAnsi="宋体" w:eastAsia="宋体" w:cs="宋体"/>
          <w:color w:val="auto"/>
          <w:sz w:val="21"/>
          <w:szCs w:val="21"/>
        </w:rPr>
        <w:t>12.2</w:t>
      </w:r>
      <w:r>
        <w:rPr>
          <w:rFonts w:hint="eastAsia" w:ascii="宋体" w:hAnsi="宋体" w:eastAsia="宋体" w:cs="宋体"/>
          <w:color w:val="auto"/>
          <w:sz w:val="21"/>
          <w:szCs w:val="21"/>
        </w:rPr>
        <w:t>定金或预付款</w:t>
      </w:r>
      <w:bookmarkEnd w:id="53"/>
    </w:p>
    <w:p>
      <w:pPr>
        <w:pStyle w:val="60"/>
        <w:shd w:val="clear" w:color="auto" w:fill="auto"/>
        <w:spacing w:before="0" w:after="0" w:line="480" w:lineRule="exact"/>
        <w:ind w:firstLine="520"/>
        <w:jc w:val="left"/>
        <w:rPr>
          <w:rFonts w:ascii="宋体" w:hAnsi="宋体" w:eastAsia="宋体" w:cs="Times New Roman"/>
          <w:color w:val="auto"/>
          <w:sz w:val="21"/>
          <w:szCs w:val="21"/>
        </w:rPr>
      </w:pPr>
      <w:r>
        <w:rPr>
          <w:rFonts w:ascii="宋体" w:hAnsi="宋体" w:eastAsia="宋体" w:cs="宋体"/>
          <w:color w:val="auto"/>
          <w:sz w:val="21"/>
          <w:szCs w:val="21"/>
        </w:rPr>
        <w:t>12.2.1</w:t>
      </w:r>
      <w:r>
        <w:rPr>
          <w:rFonts w:hint="eastAsia" w:ascii="宋体" w:hAnsi="宋体" w:eastAsia="宋体" w:cs="宋体"/>
          <w:color w:val="auto"/>
          <w:sz w:val="21"/>
          <w:szCs w:val="21"/>
        </w:rPr>
        <w:t>定金或预付款应专用于本工程的勘察。定金或预付款的额度、支付方式及抵扣方式在专用合同条款中约定。</w:t>
      </w:r>
    </w:p>
    <w:p>
      <w:pPr>
        <w:pStyle w:val="60"/>
        <w:shd w:val="clear" w:color="auto" w:fill="auto"/>
        <w:spacing w:before="0" w:after="0" w:line="480" w:lineRule="exact"/>
        <w:ind w:firstLine="520"/>
        <w:jc w:val="left"/>
        <w:rPr>
          <w:rFonts w:ascii="宋体" w:hAnsi="宋体" w:eastAsia="宋体" w:cs="Times New Roman"/>
          <w:color w:val="auto"/>
          <w:sz w:val="21"/>
          <w:szCs w:val="21"/>
        </w:rPr>
      </w:pPr>
      <w:r>
        <w:rPr>
          <w:rFonts w:ascii="宋体" w:hAnsi="宋体" w:eastAsia="宋体" w:cs="宋体"/>
          <w:color w:val="auto"/>
          <w:sz w:val="21"/>
          <w:szCs w:val="21"/>
        </w:rPr>
        <w:t>12.2.2</w:t>
      </w:r>
      <w:r>
        <w:rPr>
          <w:rFonts w:hint="eastAsia" w:ascii="宋体" w:hAnsi="宋体" w:eastAsia="宋体" w:cs="宋体"/>
          <w:color w:val="auto"/>
          <w:sz w:val="21"/>
          <w:szCs w:val="21"/>
        </w:rPr>
        <w:t>发包人应在收到定金或预付款支付申请后</w:t>
      </w:r>
      <w:r>
        <w:rPr>
          <w:rFonts w:ascii="宋体" w:hAnsi="宋体" w:eastAsia="宋体" w:cs="宋体"/>
          <w:color w:val="auto"/>
          <w:sz w:val="21"/>
          <w:szCs w:val="21"/>
        </w:rPr>
        <w:t>28</w:t>
      </w:r>
      <w:r>
        <w:rPr>
          <w:rFonts w:hint="eastAsia" w:ascii="宋体" w:hAnsi="宋体" w:eastAsia="宋体" w:cs="宋体"/>
          <w:color w:val="auto"/>
          <w:sz w:val="21"/>
          <w:szCs w:val="21"/>
        </w:rPr>
        <w:t>天内，将定金或预付款支付给勘察人；勘察人应当提供等额的增值税发票。</w:t>
      </w:r>
    </w:p>
    <w:p>
      <w:pPr>
        <w:pStyle w:val="60"/>
        <w:shd w:val="clear" w:color="auto" w:fill="auto"/>
        <w:spacing w:before="0" w:after="0" w:line="480" w:lineRule="exact"/>
        <w:ind w:firstLine="520"/>
        <w:jc w:val="left"/>
        <w:rPr>
          <w:rFonts w:ascii="宋体" w:hAnsi="宋体" w:eastAsia="宋体" w:cs="Times New Roman"/>
          <w:color w:val="auto"/>
          <w:sz w:val="21"/>
          <w:szCs w:val="21"/>
        </w:rPr>
      </w:pPr>
      <w:r>
        <w:rPr>
          <w:rFonts w:ascii="宋体" w:hAnsi="宋体" w:eastAsia="宋体" w:cs="宋体"/>
          <w:color w:val="auto"/>
          <w:sz w:val="21"/>
          <w:szCs w:val="21"/>
        </w:rPr>
        <w:t>12.2.3</w:t>
      </w:r>
      <w:r>
        <w:rPr>
          <w:rFonts w:hint="eastAsia" w:ascii="宋体" w:hAnsi="宋体" w:eastAsia="宋体" w:cs="宋体"/>
          <w:color w:val="auto"/>
          <w:sz w:val="21"/>
          <w:szCs w:val="21"/>
        </w:rPr>
        <w:t>勘察服务完成之前，由于不可抗力或其他非勘察人的原因解除合同时，定金不予退还。</w:t>
      </w:r>
    </w:p>
    <w:p>
      <w:pPr>
        <w:pStyle w:val="64"/>
        <w:keepNext/>
        <w:keepLines/>
        <w:shd w:val="clear" w:color="auto" w:fill="auto"/>
        <w:spacing w:line="480" w:lineRule="exact"/>
        <w:ind w:firstLine="520"/>
        <w:rPr>
          <w:rFonts w:ascii="宋体" w:hAnsi="宋体" w:eastAsia="宋体" w:cs="Times New Roman"/>
          <w:color w:val="auto"/>
          <w:sz w:val="21"/>
          <w:szCs w:val="21"/>
        </w:rPr>
      </w:pPr>
      <w:bookmarkStart w:id="54" w:name="bookmark148"/>
      <w:r>
        <w:rPr>
          <w:rFonts w:ascii="宋体" w:hAnsi="宋体" w:eastAsia="宋体" w:cs="宋体"/>
          <w:color w:val="auto"/>
          <w:sz w:val="21"/>
          <w:szCs w:val="21"/>
        </w:rPr>
        <w:t>12.3</w:t>
      </w:r>
      <w:r>
        <w:rPr>
          <w:rFonts w:hint="eastAsia" w:ascii="宋体" w:hAnsi="宋体" w:eastAsia="宋体" w:cs="宋体"/>
          <w:color w:val="auto"/>
          <w:sz w:val="21"/>
          <w:szCs w:val="21"/>
        </w:rPr>
        <w:t>中期支付</w:t>
      </w:r>
      <w:bookmarkEnd w:id="54"/>
    </w:p>
    <w:p>
      <w:pPr>
        <w:pStyle w:val="60"/>
        <w:shd w:val="clear" w:color="auto" w:fill="auto"/>
        <w:spacing w:before="0" w:after="0" w:line="480" w:lineRule="exact"/>
        <w:ind w:firstLine="520"/>
        <w:jc w:val="left"/>
        <w:rPr>
          <w:rFonts w:ascii="宋体" w:hAnsi="宋体" w:eastAsia="宋体" w:cs="Times New Roman"/>
          <w:color w:val="auto"/>
          <w:sz w:val="21"/>
          <w:szCs w:val="21"/>
        </w:rPr>
      </w:pPr>
      <w:r>
        <w:rPr>
          <w:rFonts w:ascii="宋体" w:hAnsi="宋体" w:eastAsia="宋体" w:cs="宋体"/>
          <w:color w:val="auto"/>
          <w:sz w:val="21"/>
          <w:szCs w:val="21"/>
        </w:rPr>
        <w:t>12.3.1</w:t>
      </w:r>
      <w:r>
        <w:rPr>
          <w:rFonts w:hint="eastAsia" w:ascii="宋体" w:hAnsi="宋体" w:eastAsia="宋体" w:cs="宋体"/>
          <w:color w:val="auto"/>
          <w:sz w:val="21"/>
          <w:szCs w:val="21"/>
        </w:rPr>
        <w:t>勘察人应按发包人批准或专用合同条款约定的格式及份数，向发包人提交中期支付申请，并附相应的支持性证明文件。</w:t>
      </w:r>
    </w:p>
    <w:p>
      <w:pPr>
        <w:pStyle w:val="60"/>
        <w:shd w:val="clear" w:color="auto" w:fill="auto"/>
        <w:spacing w:before="0" w:after="0" w:line="480"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12.3.2</w:t>
      </w:r>
      <w:r>
        <w:rPr>
          <w:rFonts w:hint="eastAsia" w:ascii="宋体" w:hAnsi="宋体" w:eastAsia="宋体" w:cs="宋体"/>
          <w:color w:val="auto"/>
          <w:sz w:val="21"/>
          <w:szCs w:val="21"/>
        </w:rPr>
        <w:t>发包人应在收到中期支付申请后的</w:t>
      </w:r>
      <w:r>
        <w:rPr>
          <w:rFonts w:ascii="宋体" w:hAnsi="宋体" w:eastAsia="宋体" w:cs="宋体"/>
          <w:color w:val="auto"/>
          <w:sz w:val="21"/>
          <w:szCs w:val="21"/>
        </w:rPr>
        <w:t>28</w:t>
      </w:r>
      <w:r>
        <w:rPr>
          <w:rFonts w:hint="eastAsia" w:ascii="宋体" w:hAnsi="宋体" w:eastAsia="宋体" w:cs="宋体"/>
          <w:color w:val="auto"/>
          <w:sz w:val="21"/>
          <w:szCs w:val="21"/>
        </w:rPr>
        <w:t>天内，将应付款项支付给勘察人</w:t>
      </w:r>
      <w:r>
        <w:rPr>
          <w:rFonts w:ascii="宋体" w:hAnsi="宋体" w:eastAsia="宋体" w:cs="宋体"/>
          <w:color w:val="auto"/>
          <w:sz w:val="21"/>
          <w:szCs w:val="21"/>
        </w:rPr>
        <w:t>;</w:t>
      </w:r>
      <w:r>
        <w:rPr>
          <w:rFonts w:hint="eastAsia" w:ascii="宋体" w:hAnsi="宋体" w:eastAsia="宋体" w:cs="宋体"/>
          <w:color w:val="auto"/>
          <w:sz w:val="21"/>
          <w:szCs w:val="21"/>
        </w:rPr>
        <w:t>勘察人应当提供等额的增值税发票。发包人未能在前述时间内完成审批或不予答复的，视为发包人同意中期支付申请。发包人不按期支付的，按专用合同条款的约定支付逾期付款违约金。</w:t>
      </w:r>
    </w:p>
    <w:p>
      <w:pPr>
        <w:pStyle w:val="60"/>
        <w:shd w:val="clear" w:color="auto" w:fill="auto"/>
        <w:spacing w:before="0" w:after="0" w:line="480" w:lineRule="exact"/>
        <w:ind w:firstLine="520"/>
        <w:jc w:val="left"/>
        <w:rPr>
          <w:rFonts w:ascii="宋体" w:hAnsi="宋体" w:eastAsia="宋体" w:cs="Times New Roman"/>
          <w:color w:val="auto"/>
          <w:sz w:val="21"/>
          <w:szCs w:val="21"/>
        </w:rPr>
      </w:pPr>
      <w:r>
        <w:rPr>
          <w:rFonts w:ascii="宋体" w:hAnsi="宋体" w:eastAsia="宋体" w:cs="宋体"/>
          <w:color w:val="auto"/>
          <w:sz w:val="21"/>
          <w:szCs w:val="21"/>
        </w:rPr>
        <w:t>12.3.3</w:t>
      </w:r>
      <w:r>
        <w:rPr>
          <w:rFonts w:hint="eastAsia" w:ascii="宋体" w:hAnsi="宋体" w:eastAsia="宋体" w:cs="宋体"/>
          <w:color w:val="auto"/>
          <w:sz w:val="21"/>
          <w:szCs w:val="21"/>
        </w:rPr>
        <w:t>中期支付涉及政府投资资金的，按照国库集中支付等国家相关规定和专用合同条款的约定执行。</w:t>
      </w:r>
    </w:p>
    <w:p>
      <w:pPr>
        <w:pStyle w:val="64"/>
        <w:keepNext/>
        <w:keepLines/>
        <w:shd w:val="clear" w:color="auto" w:fill="auto"/>
        <w:spacing w:line="480" w:lineRule="exact"/>
        <w:ind w:firstLine="520"/>
        <w:rPr>
          <w:rFonts w:ascii="宋体" w:hAnsi="宋体" w:eastAsia="宋体" w:cs="Times New Roman"/>
          <w:color w:val="auto"/>
          <w:sz w:val="21"/>
          <w:szCs w:val="21"/>
        </w:rPr>
      </w:pPr>
      <w:bookmarkStart w:id="55" w:name="bookmark149"/>
      <w:r>
        <w:rPr>
          <w:rFonts w:ascii="宋体" w:hAnsi="宋体" w:eastAsia="宋体" w:cs="宋体"/>
          <w:color w:val="auto"/>
          <w:sz w:val="21"/>
          <w:szCs w:val="21"/>
        </w:rPr>
        <w:t>12.4</w:t>
      </w:r>
      <w:r>
        <w:rPr>
          <w:rFonts w:hint="eastAsia" w:ascii="宋体" w:hAnsi="宋体" w:eastAsia="宋体" w:cs="宋体"/>
          <w:color w:val="auto"/>
          <w:sz w:val="21"/>
          <w:szCs w:val="21"/>
        </w:rPr>
        <w:t>费用结算</w:t>
      </w:r>
      <w:bookmarkEnd w:id="55"/>
    </w:p>
    <w:p>
      <w:pPr>
        <w:pStyle w:val="60"/>
        <w:shd w:val="clear" w:color="auto" w:fill="auto"/>
        <w:spacing w:before="0" w:after="0" w:line="480"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12.4.1</w:t>
      </w:r>
      <w:r>
        <w:rPr>
          <w:rFonts w:hint="eastAsia" w:ascii="宋体" w:hAnsi="宋体" w:eastAsia="宋体" w:cs="宋体"/>
          <w:color w:val="auto"/>
          <w:sz w:val="21"/>
          <w:szCs w:val="21"/>
        </w:rPr>
        <w:t>合同工作完成后，勘察人可按专用合同条款约定的份数和期限，向发包人提交勘察费用结算申请，并提供相关证明材料。</w:t>
      </w:r>
    </w:p>
    <w:p>
      <w:pPr>
        <w:pStyle w:val="60"/>
        <w:shd w:val="clear" w:color="auto" w:fill="auto"/>
        <w:spacing w:before="0" w:after="0" w:line="480"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12.4.2</w:t>
      </w:r>
      <w:r>
        <w:rPr>
          <w:rFonts w:hint="eastAsia" w:ascii="宋体" w:hAnsi="宋体" w:eastAsia="宋体" w:cs="宋体"/>
          <w:color w:val="auto"/>
          <w:sz w:val="21"/>
          <w:szCs w:val="21"/>
        </w:rPr>
        <w:t>发包人应在收到费用结算申请后的</w:t>
      </w:r>
      <w:r>
        <w:rPr>
          <w:rFonts w:ascii="宋体" w:hAnsi="宋体" w:eastAsia="宋体" w:cs="宋体"/>
          <w:color w:val="auto"/>
          <w:sz w:val="21"/>
          <w:szCs w:val="21"/>
        </w:rPr>
        <w:t>28</w:t>
      </w:r>
      <w:r>
        <w:rPr>
          <w:rFonts w:hint="eastAsia" w:ascii="宋体" w:hAnsi="宋体" w:eastAsia="宋体" w:cs="宋体"/>
          <w:color w:val="auto"/>
          <w:sz w:val="21"/>
          <w:szCs w:val="21"/>
        </w:rPr>
        <w:t>天内，将应付款项支付给勘察人</w:t>
      </w:r>
      <w:r>
        <w:rPr>
          <w:rFonts w:ascii="宋体" w:hAnsi="宋体" w:eastAsia="宋体" w:cs="宋体"/>
          <w:color w:val="auto"/>
          <w:sz w:val="21"/>
          <w:szCs w:val="21"/>
        </w:rPr>
        <w:t>;</w:t>
      </w:r>
      <w:r>
        <w:rPr>
          <w:rFonts w:hint="eastAsia" w:ascii="宋体" w:hAnsi="宋体" w:eastAsia="宋体" w:cs="宋体"/>
          <w:color w:val="auto"/>
          <w:sz w:val="21"/>
          <w:szCs w:val="21"/>
        </w:rPr>
        <w:t>勘察人应当提供等额的增值税发票。发包人未能在前述时间内完成审批或不予答复的，视为发包人同意费用结算申请。发包人不按期支付的，按专用合同条款的约定支付逾期付款违约金。</w:t>
      </w:r>
    </w:p>
    <w:p>
      <w:pPr>
        <w:pStyle w:val="60"/>
        <w:shd w:val="clear" w:color="auto" w:fill="auto"/>
        <w:spacing w:before="0" w:after="0" w:line="480" w:lineRule="exact"/>
        <w:ind w:firstLine="520"/>
        <w:jc w:val="left"/>
        <w:rPr>
          <w:rFonts w:ascii="宋体" w:hAnsi="宋体" w:eastAsia="宋体" w:cs="Times New Roman"/>
          <w:color w:val="auto"/>
          <w:sz w:val="21"/>
          <w:szCs w:val="21"/>
        </w:rPr>
      </w:pPr>
      <w:r>
        <w:rPr>
          <w:rFonts w:ascii="宋体" w:hAnsi="宋体" w:eastAsia="宋体" w:cs="宋体"/>
          <w:color w:val="auto"/>
          <w:sz w:val="21"/>
          <w:szCs w:val="21"/>
        </w:rPr>
        <w:t>12.4.3</w:t>
      </w:r>
      <w:r>
        <w:rPr>
          <w:rFonts w:hint="eastAsia" w:ascii="宋体" w:hAnsi="宋体" w:eastAsia="宋体" w:cs="宋体"/>
          <w:color w:val="auto"/>
          <w:sz w:val="21"/>
          <w:szCs w:val="21"/>
        </w:rPr>
        <w:t>发包人对费用结算申请内容有异议的，有权要求勘察人进行修正和提供补充资料，由勘察人重新提交。勘察人对此有异议的，按第</w:t>
      </w:r>
      <w:r>
        <w:rPr>
          <w:rFonts w:ascii="宋体" w:hAnsi="宋体" w:eastAsia="宋体" w:cs="宋体"/>
          <w:color w:val="auto"/>
          <w:sz w:val="21"/>
          <w:szCs w:val="21"/>
        </w:rPr>
        <w:t>15</w:t>
      </w:r>
      <w:r>
        <w:rPr>
          <w:rFonts w:hint="eastAsia" w:ascii="宋体" w:hAnsi="宋体" w:eastAsia="宋体" w:cs="宋体"/>
          <w:color w:val="auto"/>
          <w:sz w:val="21"/>
          <w:szCs w:val="21"/>
        </w:rPr>
        <w:t>条的约定执行。</w:t>
      </w:r>
      <w:r>
        <w:rPr>
          <w:rFonts w:ascii="宋体" w:hAnsi="宋体" w:eastAsia="宋体" w:cs="宋体"/>
          <w:color w:val="auto"/>
          <w:sz w:val="21"/>
          <w:szCs w:val="21"/>
        </w:rPr>
        <w:t>12.4.4</w:t>
      </w:r>
      <w:r>
        <w:rPr>
          <w:rFonts w:hint="eastAsia" w:ascii="宋体" w:hAnsi="宋体" w:eastAsia="宋体" w:cs="宋体"/>
          <w:color w:val="auto"/>
          <w:sz w:val="21"/>
          <w:szCs w:val="21"/>
        </w:rPr>
        <w:t>最终结清付款涉及政府投资资金的，按第</w:t>
      </w:r>
      <w:r>
        <w:rPr>
          <w:rFonts w:ascii="宋体" w:hAnsi="宋体" w:eastAsia="宋体" w:cs="宋体"/>
          <w:color w:val="auto"/>
          <w:sz w:val="21"/>
          <w:szCs w:val="21"/>
        </w:rPr>
        <w:t>12.3.3</w:t>
      </w:r>
      <w:r>
        <w:rPr>
          <w:rFonts w:hint="eastAsia" w:ascii="宋体" w:hAnsi="宋体" w:eastAsia="宋体" w:cs="宋体"/>
          <w:color w:val="auto"/>
          <w:sz w:val="21"/>
          <w:szCs w:val="21"/>
        </w:rPr>
        <w:t>项的约定执行。</w:t>
      </w:r>
    </w:p>
    <w:p>
      <w:pPr>
        <w:pStyle w:val="64"/>
        <w:keepNext/>
        <w:keepLines/>
        <w:shd w:val="clear" w:color="auto" w:fill="auto"/>
        <w:spacing w:line="480" w:lineRule="exact"/>
        <w:ind w:firstLine="520"/>
        <w:rPr>
          <w:rFonts w:ascii="宋体" w:hAnsi="宋体" w:eastAsia="宋体" w:cs="Times New Roman"/>
          <w:color w:val="auto"/>
          <w:sz w:val="21"/>
          <w:szCs w:val="21"/>
        </w:rPr>
      </w:pPr>
      <w:bookmarkStart w:id="56" w:name="bookmark150"/>
      <w:r>
        <w:rPr>
          <w:rFonts w:ascii="宋体" w:hAnsi="宋体" w:eastAsia="宋体" w:cs="宋体"/>
          <w:color w:val="auto"/>
          <w:sz w:val="21"/>
          <w:szCs w:val="21"/>
        </w:rPr>
        <w:t>12.5</w:t>
      </w:r>
      <w:r>
        <w:rPr>
          <w:rFonts w:hint="eastAsia" w:ascii="宋体" w:hAnsi="宋体" w:eastAsia="宋体" w:cs="宋体"/>
          <w:color w:val="auto"/>
          <w:sz w:val="21"/>
          <w:szCs w:val="21"/>
        </w:rPr>
        <w:t>暂列金额</w:t>
      </w:r>
      <w:bookmarkEnd w:id="56"/>
    </w:p>
    <w:p>
      <w:pPr>
        <w:pStyle w:val="60"/>
        <w:shd w:val="clear" w:color="auto" w:fill="auto"/>
        <w:spacing w:before="0" w:after="0" w:line="480"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12.5.1</w:t>
      </w:r>
      <w:r>
        <w:rPr>
          <w:rFonts w:hint="eastAsia" w:ascii="宋体" w:hAnsi="宋体" w:eastAsia="宋体" w:cs="宋体"/>
          <w:color w:val="auto"/>
          <w:sz w:val="21"/>
          <w:szCs w:val="21"/>
        </w:rPr>
        <w:t>本合同的暂列金额在专用合同条款中约定。暂列金额应按发包人的书面指示全部或部分地使用，或根本不予动用。</w:t>
      </w:r>
    </w:p>
    <w:p>
      <w:pPr>
        <w:pStyle w:val="60"/>
        <w:shd w:val="clear" w:color="auto" w:fill="auto"/>
        <w:spacing w:before="0" w:after="0" w:line="480"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12.5.2</w:t>
      </w:r>
      <w:r>
        <w:rPr>
          <w:rFonts w:hint="eastAsia" w:ascii="宋体" w:hAnsi="宋体" w:eastAsia="宋体" w:cs="宋体"/>
          <w:color w:val="auto"/>
          <w:sz w:val="21"/>
          <w:szCs w:val="21"/>
        </w:rPr>
        <w:t>如果使用暂列金额进行某项额外勘察工作、专题研究、审查和会务工作，其费用应按勘察人投标报价中相应项目的基本单价和实际发生的工作量经发包人核定后支付，或者按实际发生的工作费用经发包人核实后支付。</w:t>
      </w:r>
    </w:p>
    <w:p>
      <w:pPr>
        <w:pStyle w:val="64"/>
        <w:keepNext/>
        <w:keepLines/>
        <w:shd w:val="clear" w:color="auto" w:fill="auto"/>
        <w:spacing w:line="480" w:lineRule="exact"/>
        <w:ind w:firstLine="520"/>
        <w:rPr>
          <w:rFonts w:ascii="宋体" w:hAnsi="宋体" w:eastAsia="宋体" w:cs="Times New Roman"/>
          <w:color w:val="auto"/>
          <w:sz w:val="21"/>
          <w:szCs w:val="21"/>
        </w:rPr>
      </w:pPr>
      <w:bookmarkStart w:id="57" w:name="bookmark151"/>
      <w:r>
        <w:rPr>
          <w:rFonts w:ascii="宋体" w:hAnsi="宋体" w:eastAsia="宋体" w:cs="宋体"/>
          <w:color w:val="auto"/>
          <w:sz w:val="21"/>
          <w:szCs w:val="21"/>
        </w:rPr>
        <w:t>12.6</w:t>
      </w:r>
      <w:r>
        <w:rPr>
          <w:rFonts w:hint="eastAsia" w:ascii="宋体" w:hAnsi="宋体" w:eastAsia="宋体" w:cs="宋体"/>
          <w:color w:val="auto"/>
          <w:sz w:val="21"/>
          <w:szCs w:val="21"/>
        </w:rPr>
        <w:t>质量保证金</w:t>
      </w:r>
      <w:bookmarkEnd w:id="57"/>
    </w:p>
    <w:p>
      <w:pPr>
        <w:pStyle w:val="60"/>
        <w:shd w:val="clear" w:color="auto" w:fill="auto"/>
        <w:spacing w:before="0" w:after="316" w:line="480" w:lineRule="exact"/>
        <w:ind w:firstLine="520"/>
        <w:jc w:val="both"/>
        <w:rPr>
          <w:rFonts w:ascii="宋体" w:hAnsi="宋体" w:eastAsia="宋体" w:cs="Times New Roman"/>
          <w:color w:val="auto"/>
          <w:sz w:val="21"/>
          <w:szCs w:val="21"/>
        </w:rPr>
      </w:pPr>
      <w:r>
        <w:rPr>
          <w:rFonts w:hint="eastAsia" w:ascii="宋体" w:hAnsi="宋体" w:eastAsia="宋体" w:cs="宋体"/>
          <w:color w:val="auto"/>
          <w:sz w:val="21"/>
          <w:szCs w:val="21"/>
        </w:rPr>
        <w:t>为保证勘察人的设计质量和设计服务，最后一批勘察成果文件经上级主管部门批复之后</w:t>
      </w:r>
      <w:r>
        <w:rPr>
          <w:rFonts w:ascii="宋体" w:hAnsi="宋体" w:eastAsia="宋体" w:cs="宋体"/>
          <w:color w:val="auto"/>
          <w:sz w:val="21"/>
          <w:szCs w:val="21"/>
        </w:rPr>
        <w:t>28</w:t>
      </w:r>
      <w:r>
        <w:rPr>
          <w:rFonts w:hint="eastAsia" w:ascii="宋体" w:hAnsi="宋体" w:eastAsia="宋体" w:cs="宋体"/>
          <w:color w:val="auto"/>
          <w:sz w:val="21"/>
          <w:szCs w:val="21"/>
        </w:rPr>
        <w:t>天内，勘察人应向发包人缴纳质量保证金。质量保证金可采用银行保函或现金、支票形式，金额应符合专用合同条款的规定。采用银行保函时，出具保函的银行须具有相应担保能力，且按照发包人批准的格式出具，所需费用由勘察人承担，待项目交工证书签发后</w:t>
      </w:r>
      <w:r>
        <w:rPr>
          <w:rFonts w:ascii="宋体" w:hAnsi="宋体" w:eastAsia="宋体" w:cs="宋体"/>
          <w:color w:val="auto"/>
          <w:sz w:val="21"/>
          <w:szCs w:val="21"/>
        </w:rPr>
        <w:t>28</w:t>
      </w:r>
      <w:r>
        <w:rPr>
          <w:rFonts w:hint="eastAsia" w:ascii="宋体" w:hAnsi="宋体" w:eastAsia="宋体" w:cs="宋体"/>
          <w:color w:val="auto"/>
          <w:sz w:val="21"/>
          <w:szCs w:val="21"/>
        </w:rPr>
        <w:t>天内返还给勘察人。</w:t>
      </w:r>
    </w:p>
    <w:p>
      <w:pPr>
        <w:pStyle w:val="70"/>
        <w:keepNext/>
        <w:keepLines/>
        <w:numPr>
          <w:ilvl w:val="0"/>
          <w:numId w:val="2"/>
        </w:numPr>
        <w:shd w:val="clear" w:color="auto" w:fill="auto"/>
        <w:spacing w:before="0" w:after="142"/>
        <w:jc w:val="left"/>
        <w:rPr>
          <w:rFonts w:ascii="宋体" w:hAnsi="宋体" w:eastAsia="宋体" w:cs="Times New Roman"/>
          <w:color w:val="auto"/>
          <w:sz w:val="21"/>
          <w:szCs w:val="21"/>
        </w:rPr>
      </w:pPr>
      <w:bookmarkStart w:id="58" w:name="bookmark152"/>
      <w:r>
        <w:rPr>
          <w:rStyle w:val="71"/>
          <w:rFonts w:hint="eastAsia" w:ascii="宋体" w:hAnsi="宋体" w:eastAsia="宋体" w:cs="宋体"/>
          <w:color w:val="auto"/>
          <w:sz w:val="21"/>
          <w:szCs w:val="21"/>
        </w:rPr>
        <w:t>不可抗力</w:t>
      </w:r>
      <w:bookmarkEnd w:id="58"/>
    </w:p>
    <w:p>
      <w:pPr>
        <w:pStyle w:val="64"/>
        <w:keepNext/>
        <w:keepLines/>
        <w:shd w:val="clear" w:color="auto" w:fill="auto"/>
        <w:spacing w:line="482" w:lineRule="exact"/>
        <w:ind w:firstLine="520"/>
        <w:rPr>
          <w:rFonts w:ascii="宋体" w:hAnsi="宋体" w:eastAsia="宋体" w:cs="Times New Roman"/>
          <w:color w:val="auto"/>
          <w:sz w:val="21"/>
          <w:szCs w:val="21"/>
        </w:rPr>
      </w:pPr>
      <w:bookmarkStart w:id="59" w:name="bookmark153"/>
      <w:r>
        <w:rPr>
          <w:rFonts w:ascii="宋体" w:hAnsi="宋体" w:eastAsia="宋体" w:cs="宋体"/>
          <w:color w:val="auto"/>
          <w:sz w:val="21"/>
          <w:szCs w:val="21"/>
          <w:lang w:eastAsia="en-US"/>
        </w:rPr>
        <w:t>13.1</w:t>
      </w:r>
      <w:r>
        <w:rPr>
          <w:rFonts w:hint="eastAsia" w:ascii="宋体" w:hAnsi="宋体" w:eastAsia="宋体" w:cs="宋体"/>
          <w:color w:val="auto"/>
          <w:sz w:val="21"/>
          <w:szCs w:val="21"/>
        </w:rPr>
        <w:t>不可抗力的确认</w:t>
      </w:r>
      <w:bookmarkEnd w:id="59"/>
    </w:p>
    <w:p>
      <w:pPr>
        <w:pStyle w:val="60"/>
        <w:shd w:val="clear" w:color="auto" w:fill="auto"/>
        <w:spacing w:before="0" w:after="0" w:line="482" w:lineRule="exact"/>
        <w:ind w:firstLine="520"/>
        <w:jc w:val="left"/>
        <w:rPr>
          <w:rFonts w:ascii="宋体" w:hAnsi="宋体" w:eastAsia="宋体" w:cs="Times New Roman"/>
          <w:color w:val="auto"/>
          <w:sz w:val="21"/>
          <w:szCs w:val="21"/>
        </w:rPr>
        <w:sectPr>
          <w:headerReference r:id="rId11" w:type="default"/>
          <w:footerReference r:id="rId13" w:type="default"/>
          <w:headerReference r:id="rId12" w:type="even"/>
          <w:footerReference r:id="rId14" w:type="even"/>
          <w:pgSz w:w="11900" w:h="16840"/>
          <w:pgMar w:top="1637" w:right="1510" w:bottom="1599" w:left="1572" w:header="0" w:footer="3" w:gutter="0"/>
          <w:cols w:space="720" w:num="1"/>
          <w:docGrid w:linePitch="360" w:charSpace="0"/>
        </w:sectPr>
      </w:pPr>
      <w:r>
        <w:rPr>
          <w:rFonts w:ascii="宋体" w:hAnsi="宋体" w:eastAsia="宋体" w:cs="宋体"/>
          <w:color w:val="auto"/>
          <w:sz w:val="21"/>
          <w:szCs w:val="21"/>
        </w:rPr>
        <w:t>13.1.1</w:t>
      </w:r>
      <w:r>
        <w:rPr>
          <w:rFonts w:hint="eastAsia" w:ascii="宋体" w:hAnsi="宋体" w:eastAsia="宋体" w:cs="宋体"/>
          <w:color w:val="auto"/>
          <w:sz w:val="21"/>
          <w:szCs w:val="21"/>
        </w:rPr>
        <w:t>不可抗力是指勘察人和发包人在订立合同时不可预见，在履行合同过程中不可避免发生并不能克服的自然灾害和社会性突发事件，如地震、海啸、瘟疫、水灾、骚乱、暴动、战争和专用合同条款约定的其他情形。</w:t>
      </w:r>
    </w:p>
    <w:p>
      <w:pPr>
        <w:pStyle w:val="60"/>
        <w:shd w:val="clear" w:color="auto" w:fill="auto"/>
        <w:spacing w:before="0" w:after="0" w:line="480"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13.1.2</w:t>
      </w:r>
      <w:r>
        <w:rPr>
          <w:rFonts w:hint="eastAsia" w:ascii="宋体" w:hAnsi="宋体" w:eastAsia="宋体" w:cs="宋体"/>
          <w:color w:val="auto"/>
          <w:sz w:val="21"/>
          <w:szCs w:val="21"/>
        </w:rPr>
        <w:t>不可抗力发生后，发包人和勘察人应及时认真统计所造成的损失，收集不可抗力造成损失的证据。合同双方对是否属于不可抗力或其损失的意见不一致的，由合同双方协商确定。</w:t>
      </w:r>
    </w:p>
    <w:p>
      <w:pPr>
        <w:pStyle w:val="64"/>
        <w:keepNext/>
        <w:keepLines/>
        <w:shd w:val="clear" w:color="auto" w:fill="auto"/>
        <w:spacing w:line="480" w:lineRule="exact"/>
        <w:ind w:firstLine="520"/>
        <w:rPr>
          <w:rFonts w:ascii="宋体" w:hAnsi="宋体" w:eastAsia="宋体" w:cs="Times New Roman"/>
          <w:color w:val="auto"/>
          <w:sz w:val="21"/>
          <w:szCs w:val="21"/>
        </w:rPr>
      </w:pPr>
      <w:bookmarkStart w:id="60" w:name="bookmark154"/>
      <w:r>
        <w:rPr>
          <w:rFonts w:ascii="宋体" w:hAnsi="宋体" w:eastAsia="宋体" w:cs="宋体"/>
          <w:color w:val="auto"/>
          <w:sz w:val="21"/>
          <w:szCs w:val="21"/>
        </w:rPr>
        <w:t>13.2</w:t>
      </w:r>
      <w:r>
        <w:rPr>
          <w:rFonts w:hint="eastAsia" w:ascii="宋体" w:hAnsi="宋体" w:eastAsia="宋体" w:cs="宋体"/>
          <w:color w:val="auto"/>
          <w:sz w:val="21"/>
          <w:szCs w:val="21"/>
        </w:rPr>
        <w:t>不可抗力的通知</w:t>
      </w:r>
      <w:bookmarkEnd w:id="60"/>
    </w:p>
    <w:p>
      <w:pPr>
        <w:pStyle w:val="60"/>
        <w:shd w:val="clear" w:color="auto" w:fill="auto"/>
        <w:spacing w:before="0" w:after="0" w:line="480"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13.2.1</w:t>
      </w:r>
      <w:r>
        <w:rPr>
          <w:rFonts w:hint="eastAsia" w:ascii="宋体" w:hAnsi="宋体" w:eastAsia="宋体" w:cs="宋体"/>
          <w:color w:val="auto"/>
          <w:sz w:val="21"/>
          <w:szCs w:val="21"/>
        </w:rPr>
        <w:t>合同一方当事人遇到不可抗力事件，使其履行合同义务受到阻碍时，应立即通知合同另一方当事人，书面说明不可抗力和受阻碍的详细情况，并提供必要的证明。</w:t>
      </w:r>
    </w:p>
    <w:p>
      <w:pPr>
        <w:pStyle w:val="60"/>
        <w:shd w:val="clear" w:color="auto" w:fill="auto"/>
        <w:spacing w:before="0" w:after="0" w:line="480"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13.2.2</w:t>
      </w:r>
      <w:r>
        <w:rPr>
          <w:rFonts w:hint="eastAsia" w:ascii="宋体" w:hAnsi="宋体" w:eastAsia="宋体" w:cs="宋体"/>
          <w:color w:val="auto"/>
          <w:sz w:val="21"/>
          <w:szCs w:val="21"/>
        </w:rPr>
        <w:t>如不可抗力持续发生，合同一方当事人应及时向合同另一方当事人提交中间报告，说明不可抗力和履行合同受阻的情况，并于不可抗力事件结束后</w:t>
      </w:r>
      <w:r>
        <w:rPr>
          <w:rFonts w:ascii="宋体" w:hAnsi="宋体" w:eastAsia="宋体" w:cs="宋体"/>
          <w:color w:val="auto"/>
          <w:sz w:val="21"/>
          <w:szCs w:val="21"/>
        </w:rPr>
        <w:t>28</w:t>
      </w:r>
      <w:r>
        <w:rPr>
          <w:rFonts w:hint="eastAsia" w:ascii="宋体" w:hAnsi="宋体" w:eastAsia="宋体" w:cs="宋体"/>
          <w:color w:val="auto"/>
          <w:sz w:val="21"/>
          <w:szCs w:val="21"/>
        </w:rPr>
        <w:t>天内提交最终报告及有关资料。</w:t>
      </w:r>
    </w:p>
    <w:p>
      <w:pPr>
        <w:pStyle w:val="64"/>
        <w:keepNext/>
        <w:keepLines/>
        <w:shd w:val="clear" w:color="auto" w:fill="auto"/>
        <w:spacing w:line="480" w:lineRule="exact"/>
        <w:ind w:firstLine="520"/>
        <w:rPr>
          <w:rFonts w:ascii="宋体" w:hAnsi="宋体" w:eastAsia="宋体" w:cs="Times New Roman"/>
          <w:color w:val="auto"/>
          <w:sz w:val="21"/>
          <w:szCs w:val="21"/>
        </w:rPr>
      </w:pPr>
      <w:bookmarkStart w:id="61" w:name="bookmark155"/>
      <w:r>
        <w:rPr>
          <w:rFonts w:ascii="宋体" w:hAnsi="宋体" w:eastAsia="宋体" w:cs="宋体"/>
          <w:color w:val="auto"/>
          <w:sz w:val="21"/>
          <w:szCs w:val="21"/>
        </w:rPr>
        <w:t>13.3</w:t>
      </w:r>
      <w:r>
        <w:rPr>
          <w:rFonts w:hint="eastAsia" w:ascii="宋体" w:hAnsi="宋体" w:eastAsia="宋体" w:cs="宋体"/>
          <w:color w:val="auto"/>
          <w:sz w:val="21"/>
          <w:szCs w:val="21"/>
        </w:rPr>
        <w:t>不可抗力后果及其处理</w:t>
      </w:r>
      <w:bookmarkEnd w:id="61"/>
    </w:p>
    <w:p>
      <w:pPr>
        <w:pStyle w:val="60"/>
        <w:shd w:val="clear" w:color="auto" w:fill="auto"/>
        <w:spacing w:before="0" w:after="0" w:line="480"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13.3.1</w:t>
      </w:r>
      <w:r>
        <w:rPr>
          <w:rFonts w:hint="eastAsia" w:ascii="宋体" w:hAnsi="宋体" w:eastAsia="宋体" w:cs="宋体"/>
          <w:color w:val="auto"/>
          <w:sz w:val="21"/>
          <w:szCs w:val="21"/>
        </w:rPr>
        <w:t>不可抗力引起的后果及其损失，应由合同当事人依据法律规定各自承担。不可抗力发生前己完成的勘察工作，应当按照合同约定进行支付。</w:t>
      </w:r>
    </w:p>
    <w:p>
      <w:pPr>
        <w:pStyle w:val="60"/>
        <w:shd w:val="clear" w:color="auto" w:fill="auto"/>
        <w:spacing w:before="0" w:after="0" w:line="480" w:lineRule="exact"/>
        <w:ind w:firstLine="520"/>
        <w:jc w:val="left"/>
        <w:rPr>
          <w:rFonts w:ascii="宋体" w:hAnsi="宋体" w:eastAsia="宋体" w:cs="Times New Roman"/>
          <w:color w:val="auto"/>
          <w:sz w:val="21"/>
          <w:szCs w:val="21"/>
        </w:rPr>
      </w:pPr>
      <w:r>
        <w:rPr>
          <w:rFonts w:ascii="宋体" w:hAnsi="宋体" w:eastAsia="宋体" w:cs="宋体"/>
          <w:color w:val="auto"/>
          <w:sz w:val="21"/>
          <w:szCs w:val="21"/>
        </w:rPr>
        <w:t>13.3.2</w:t>
      </w:r>
      <w:r>
        <w:rPr>
          <w:rFonts w:hint="eastAsia" w:ascii="宋体" w:hAnsi="宋体" w:eastAsia="宋体" w:cs="宋体"/>
          <w:color w:val="auto"/>
          <w:sz w:val="21"/>
          <w:szCs w:val="21"/>
        </w:rPr>
        <w:t>不可抗力发生后，合同当事人应当釆取有效措施避免损失进一步扩大，如未采取有效措施致使损失扩大的，应当自行承担扩大部分的损失。</w:t>
      </w:r>
    </w:p>
    <w:p>
      <w:pPr>
        <w:pStyle w:val="60"/>
        <w:shd w:val="clear" w:color="auto" w:fill="auto"/>
        <w:spacing w:before="0" w:after="296" w:line="480" w:lineRule="exact"/>
        <w:ind w:firstLine="520"/>
        <w:jc w:val="left"/>
        <w:rPr>
          <w:rFonts w:ascii="宋体" w:hAnsi="宋体" w:eastAsia="宋体" w:cs="Times New Roman"/>
          <w:color w:val="auto"/>
          <w:sz w:val="21"/>
          <w:szCs w:val="21"/>
        </w:rPr>
      </w:pPr>
      <w:r>
        <w:rPr>
          <w:rFonts w:ascii="宋体" w:hAnsi="宋体" w:eastAsia="宋体" w:cs="宋体"/>
          <w:color w:val="auto"/>
          <w:sz w:val="21"/>
          <w:szCs w:val="21"/>
        </w:rPr>
        <w:t>13.3.3</w:t>
      </w:r>
      <w:r>
        <w:rPr>
          <w:rFonts w:hint="eastAsia" w:ascii="宋体" w:hAnsi="宋体" w:eastAsia="宋体" w:cs="宋体"/>
          <w:color w:val="auto"/>
          <w:sz w:val="21"/>
          <w:szCs w:val="21"/>
        </w:rPr>
        <w:t>因一方当事人迟延履行合同义务，致使迟延履行期间遭遇不可抗力的，应由该当事人承担全部损失。</w:t>
      </w:r>
    </w:p>
    <w:p>
      <w:pPr>
        <w:pStyle w:val="70"/>
        <w:keepNext/>
        <w:keepLines/>
        <w:numPr>
          <w:ilvl w:val="0"/>
          <w:numId w:val="2"/>
        </w:numPr>
        <w:shd w:val="clear" w:color="auto" w:fill="auto"/>
        <w:spacing w:before="0" w:after="142"/>
        <w:jc w:val="left"/>
        <w:rPr>
          <w:rFonts w:ascii="宋体" w:hAnsi="宋体" w:eastAsia="宋体" w:cs="Times New Roman"/>
          <w:color w:val="auto"/>
          <w:sz w:val="21"/>
          <w:szCs w:val="21"/>
        </w:rPr>
      </w:pPr>
      <w:bookmarkStart w:id="62" w:name="bookmark156"/>
      <w:r>
        <w:rPr>
          <w:rStyle w:val="71"/>
          <w:rFonts w:hint="eastAsia" w:ascii="宋体" w:hAnsi="宋体" w:eastAsia="宋体" w:cs="宋体"/>
          <w:color w:val="auto"/>
          <w:sz w:val="21"/>
          <w:szCs w:val="21"/>
        </w:rPr>
        <w:t>违约</w:t>
      </w:r>
      <w:bookmarkEnd w:id="62"/>
    </w:p>
    <w:p>
      <w:pPr>
        <w:pStyle w:val="64"/>
        <w:keepNext/>
        <w:keepLines/>
        <w:shd w:val="clear" w:color="auto" w:fill="auto"/>
        <w:spacing w:line="482" w:lineRule="exact"/>
        <w:ind w:firstLine="520"/>
        <w:rPr>
          <w:rFonts w:ascii="宋体" w:hAnsi="宋体" w:eastAsia="宋体" w:cs="Times New Roman"/>
          <w:color w:val="auto"/>
          <w:sz w:val="21"/>
          <w:szCs w:val="21"/>
        </w:rPr>
      </w:pPr>
      <w:bookmarkStart w:id="63" w:name="bookmark157"/>
      <w:r>
        <w:rPr>
          <w:rFonts w:ascii="宋体" w:hAnsi="宋体" w:eastAsia="宋体" w:cs="宋体"/>
          <w:color w:val="auto"/>
          <w:sz w:val="21"/>
          <w:szCs w:val="21"/>
          <w:lang w:eastAsia="en-US"/>
        </w:rPr>
        <w:t>14.1</w:t>
      </w:r>
      <w:r>
        <w:rPr>
          <w:rFonts w:hint="eastAsia" w:ascii="宋体" w:hAnsi="宋体" w:eastAsia="宋体" w:cs="宋体"/>
          <w:color w:val="auto"/>
          <w:sz w:val="21"/>
          <w:szCs w:val="21"/>
        </w:rPr>
        <w:t>勘察人违约</w:t>
      </w:r>
      <w:bookmarkEnd w:id="63"/>
    </w:p>
    <w:p>
      <w:pPr>
        <w:pStyle w:val="60"/>
        <w:shd w:val="clear" w:color="auto" w:fill="auto"/>
        <w:spacing w:before="0" w:after="0" w:line="482"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14.1.1</w:t>
      </w:r>
      <w:r>
        <w:rPr>
          <w:rFonts w:hint="eastAsia" w:ascii="宋体" w:hAnsi="宋体" w:eastAsia="宋体" w:cs="宋体"/>
          <w:color w:val="auto"/>
          <w:sz w:val="21"/>
          <w:szCs w:val="21"/>
        </w:rPr>
        <w:t>合同履行中发生下列情况之一的，属勘察人违约：</w:t>
      </w:r>
    </w:p>
    <w:p>
      <w:pPr>
        <w:pStyle w:val="60"/>
        <w:numPr>
          <w:ilvl w:val="0"/>
          <w:numId w:val="15"/>
        </w:numPr>
        <w:shd w:val="clear" w:color="auto" w:fill="auto"/>
        <w:tabs>
          <w:tab w:val="left" w:pos="1169"/>
        </w:tabs>
        <w:spacing w:before="0" w:after="0" w:line="482" w:lineRule="exact"/>
        <w:ind w:firstLine="640"/>
        <w:jc w:val="left"/>
        <w:rPr>
          <w:rFonts w:ascii="宋体" w:hAnsi="宋体" w:eastAsia="宋体" w:cs="Times New Roman"/>
          <w:color w:val="auto"/>
          <w:sz w:val="21"/>
          <w:szCs w:val="21"/>
        </w:rPr>
      </w:pPr>
      <w:r>
        <w:rPr>
          <w:rFonts w:hint="eastAsia" w:ascii="宋体" w:hAnsi="宋体" w:eastAsia="宋体" w:cs="宋体"/>
          <w:color w:val="auto"/>
          <w:sz w:val="21"/>
          <w:szCs w:val="21"/>
        </w:rPr>
        <w:t>勘察文件不符合法律以及合同约定；</w:t>
      </w:r>
    </w:p>
    <w:p>
      <w:pPr>
        <w:pStyle w:val="60"/>
        <w:numPr>
          <w:ilvl w:val="0"/>
          <w:numId w:val="15"/>
        </w:numPr>
        <w:shd w:val="clear" w:color="auto" w:fill="auto"/>
        <w:tabs>
          <w:tab w:val="left" w:pos="1169"/>
        </w:tabs>
        <w:spacing w:before="0" w:after="0" w:line="482" w:lineRule="exact"/>
        <w:ind w:firstLine="640"/>
        <w:jc w:val="left"/>
        <w:rPr>
          <w:rFonts w:ascii="宋体" w:hAnsi="宋体" w:eastAsia="宋体" w:cs="Times New Roman"/>
          <w:color w:val="auto"/>
          <w:sz w:val="21"/>
          <w:szCs w:val="21"/>
        </w:rPr>
      </w:pPr>
      <w:r>
        <w:rPr>
          <w:rFonts w:hint="eastAsia" w:ascii="宋体" w:hAnsi="宋体" w:eastAsia="宋体" w:cs="宋体"/>
          <w:color w:val="auto"/>
          <w:sz w:val="21"/>
          <w:szCs w:val="21"/>
        </w:rPr>
        <w:t>勘察人转包、违法分包或者未经发包人同意擅自分包；</w:t>
      </w:r>
    </w:p>
    <w:p>
      <w:pPr>
        <w:pStyle w:val="60"/>
        <w:numPr>
          <w:ilvl w:val="0"/>
          <w:numId w:val="15"/>
        </w:numPr>
        <w:shd w:val="clear" w:color="auto" w:fill="auto"/>
        <w:tabs>
          <w:tab w:val="left" w:pos="1169"/>
        </w:tabs>
        <w:spacing w:before="0" w:after="0" w:line="482" w:lineRule="exact"/>
        <w:ind w:firstLine="640"/>
        <w:jc w:val="left"/>
        <w:rPr>
          <w:rFonts w:ascii="宋体" w:hAnsi="宋体" w:eastAsia="宋体" w:cs="Times New Roman"/>
          <w:color w:val="auto"/>
          <w:sz w:val="21"/>
          <w:szCs w:val="21"/>
        </w:rPr>
      </w:pPr>
      <w:r>
        <w:rPr>
          <w:rFonts w:hint="eastAsia" w:ascii="宋体" w:hAnsi="宋体" w:eastAsia="宋体" w:cs="宋体"/>
          <w:color w:val="auto"/>
          <w:sz w:val="21"/>
          <w:szCs w:val="21"/>
        </w:rPr>
        <w:t>勘察人未按合同计划完成勘察</w:t>
      </w:r>
      <w:r>
        <w:rPr>
          <w:rFonts w:ascii="宋体" w:hAnsi="宋体" w:eastAsia="宋体" w:cs="宋体"/>
          <w:color w:val="auto"/>
          <w:sz w:val="21"/>
          <w:szCs w:val="21"/>
        </w:rPr>
        <w:t>(</w:t>
      </w:r>
      <w:r>
        <w:rPr>
          <w:rFonts w:hint="eastAsia" w:ascii="宋体" w:hAnsi="宋体" w:eastAsia="宋体" w:cs="宋体"/>
          <w:color w:val="auto"/>
          <w:sz w:val="21"/>
          <w:szCs w:val="21"/>
        </w:rPr>
        <w:t>发包人同意延期的除外</w:t>
      </w:r>
      <w:r>
        <w:rPr>
          <w:rFonts w:ascii="宋体" w:hAnsi="宋体" w:eastAsia="宋体" w:cs="宋体"/>
          <w:color w:val="auto"/>
          <w:sz w:val="21"/>
          <w:szCs w:val="21"/>
        </w:rPr>
        <w:t>)</w:t>
      </w:r>
      <w:r>
        <w:rPr>
          <w:rFonts w:hint="eastAsia" w:ascii="宋体" w:hAnsi="宋体" w:eastAsia="宋体" w:cs="宋体"/>
          <w:color w:val="auto"/>
          <w:sz w:val="21"/>
          <w:szCs w:val="21"/>
        </w:rPr>
        <w:t>；</w:t>
      </w:r>
    </w:p>
    <w:p>
      <w:pPr>
        <w:pStyle w:val="60"/>
        <w:numPr>
          <w:ilvl w:val="0"/>
          <w:numId w:val="15"/>
        </w:numPr>
        <w:shd w:val="clear" w:color="auto" w:fill="auto"/>
        <w:tabs>
          <w:tab w:val="left" w:pos="1169"/>
        </w:tabs>
        <w:spacing w:before="0" w:after="0" w:line="482" w:lineRule="exact"/>
        <w:ind w:firstLine="640"/>
        <w:jc w:val="left"/>
        <w:rPr>
          <w:rFonts w:ascii="宋体" w:hAnsi="宋体" w:eastAsia="宋体" w:cs="Times New Roman"/>
          <w:color w:val="auto"/>
          <w:sz w:val="21"/>
          <w:szCs w:val="21"/>
        </w:rPr>
      </w:pPr>
      <w:r>
        <w:rPr>
          <w:rFonts w:hint="eastAsia" w:ascii="宋体" w:hAnsi="宋体" w:eastAsia="宋体" w:cs="宋体"/>
          <w:color w:val="auto"/>
          <w:sz w:val="21"/>
          <w:szCs w:val="21"/>
        </w:rPr>
        <w:t>勘察人无法履行或停止履行合同；</w:t>
      </w:r>
    </w:p>
    <w:p>
      <w:pPr>
        <w:pStyle w:val="60"/>
        <w:numPr>
          <w:ilvl w:val="0"/>
          <w:numId w:val="15"/>
        </w:numPr>
        <w:shd w:val="clear" w:color="auto" w:fill="auto"/>
        <w:tabs>
          <w:tab w:val="left" w:pos="1136"/>
        </w:tabs>
        <w:spacing w:before="0" w:after="0" w:line="482" w:lineRule="exact"/>
        <w:ind w:firstLine="640"/>
        <w:jc w:val="left"/>
        <w:rPr>
          <w:rFonts w:ascii="宋体" w:hAnsi="宋体" w:eastAsia="宋体" w:cs="Times New Roman"/>
          <w:color w:val="auto"/>
          <w:sz w:val="21"/>
          <w:szCs w:val="21"/>
        </w:rPr>
      </w:pPr>
      <w:r>
        <w:rPr>
          <w:rFonts w:hint="eastAsia" w:ascii="宋体" w:hAnsi="宋体" w:eastAsia="宋体" w:cs="宋体"/>
          <w:color w:val="auto"/>
          <w:sz w:val="21"/>
          <w:szCs w:val="21"/>
        </w:rPr>
        <w:t>在收到发包人或咨询单位或上级主管部门提出的审查意见后，勘察人未在专用合同条款规定的期限内完成对勘察文件的修改；</w:t>
      </w:r>
    </w:p>
    <w:p>
      <w:pPr>
        <w:pStyle w:val="60"/>
        <w:numPr>
          <w:ilvl w:val="0"/>
          <w:numId w:val="15"/>
        </w:numPr>
        <w:shd w:val="clear" w:color="auto" w:fill="auto"/>
        <w:tabs>
          <w:tab w:val="left" w:pos="529"/>
        </w:tabs>
        <w:spacing w:before="0" w:after="0" w:line="482" w:lineRule="exact"/>
        <w:ind w:firstLine="640"/>
        <w:jc w:val="left"/>
        <w:rPr>
          <w:rFonts w:ascii="宋体" w:hAnsi="宋体" w:eastAsia="宋体" w:cs="宋体"/>
          <w:color w:val="auto"/>
          <w:sz w:val="21"/>
          <w:szCs w:val="21"/>
        </w:rPr>
      </w:pPr>
      <w:r>
        <w:rPr>
          <w:rFonts w:hint="eastAsia" w:ascii="宋体" w:hAnsi="宋体" w:eastAsia="宋体" w:cs="宋体"/>
          <w:color w:val="auto"/>
          <w:sz w:val="21"/>
          <w:szCs w:val="21"/>
        </w:rPr>
        <w:t>勘察人在投标文件中承诺投入本项目的主要勘察勘察人员发生变化</w:t>
      </w:r>
      <w:r>
        <w:rPr>
          <w:rFonts w:ascii="宋体" w:hAnsi="宋体" w:eastAsia="宋体" w:cs="宋体"/>
          <w:color w:val="auto"/>
          <w:sz w:val="21"/>
          <w:szCs w:val="21"/>
        </w:rPr>
        <w:t>(</w:t>
      </w:r>
      <w:r>
        <w:rPr>
          <w:rFonts w:hint="eastAsia" w:ascii="宋体" w:hAnsi="宋体" w:eastAsia="宋体" w:cs="宋体"/>
          <w:color w:val="auto"/>
          <w:sz w:val="21"/>
          <w:szCs w:val="21"/>
        </w:rPr>
        <w:t>因不可抗力引起的人员变动除外</w:t>
      </w:r>
      <w:r>
        <w:rPr>
          <w:rFonts w:ascii="宋体" w:hAnsi="宋体" w:eastAsia="宋体" w:cs="宋体"/>
          <w:color w:val="auto"/>
          <w:sz w:val="21"/>
          <w:szCs w:val="21"/>
        </w:rPr>
        <w:t>);</w:t>
      </w:r>
    </w:p>
    <w:p>
      <w:pPr>
        <w:pStyle w:val="60"/>
        <w:numPr>
          <w:ilvl w:val="0"/>
          <w:numId w:val="15"/>
        </w:numPr>
        <w:shd w:val="clear" w:color="auto" w:fill="auto"/>
        <w:tabs>
          <w:tab w:val="left" w:pos="1169"/>
        </w:tabs>
        <w:spacing w:before="0" w:after="0" w:line="480" w:lineRule="exact"/>
        <w:ind w:firstLine="640"/>
        <w:jc w:val="both"/>
        <w:rPr>
          <w:rFonts w:ascii="宋体" w:hAnsi="宋体" w:eastAsia="宋体" w:cs="Times New Roman"/>
          <w:color w:val="auto"/>
          <w:sz w:val="21"/>
          <w:szCs w:val="21"/>
        </w:rPr>
      </w:pPr>
      <w:r>
        <w:rPr>
          <w:rFonts w:hint="eastAsia" w:ascii="宋体" w:hAnsi="宋体" w:eastAsia="宋体" w:cs="宋体"/>
          <w:color w:val="auto"/>
          <w:sz w:val="21"/>
          <w:szCs w:val="21"/>
        </w:rPr>
        <w:t>勘察人未按照本合同第</w:t>
      </w:r>
      <w:r>
        <w:rPr>
          <w:rFonts w:ascii="宋体" w:hAnsi="宋体" w:eastAsia="宋体" w:cs="宋体"/>
          <w:color w:val="auto"/>
          <w:sz w:val="21"/>
          <w:szCs w:val="21"/>
        </w:rPr>
        <w:t>10.1</w:t>
      </w:r>
      <w:r>
        <w:rPr>
          <w:rFonts w:hint="eastAsia" w:ascii="宋体" w:hAnsi="宋体" w:eastAsia="宋体" w:cs="宋体"/>
          <w:color w:val="auto"/>
          <w:sz w:val="21"/>
          <w:szCs w:val="21"/>
        </w:rPr>
        <w:t>款规定提供招标期间的配合服务；</w:t>
      </w:r>
    </w:p>
    <w:p>
      <w:pPr>
        <w:pStyle w:val="60"/>
        <w:numPr>
          <w:ilvl w:val="0"/>
          <w:numId w:val="15"/>
        </w:numPr>
        <w:shd w:val="clear" w:color="auto" w:fill="auto"/>
        <w:tabs>
          <w:tab w:val="left" w:pos="1142"/>
        </w:tabs>
        <w:spacing w:before="0" w:after="0" w:line="480" w:lineRule="exact"/>
        <w:ind w:firstLine="640"/>
        <w:jc w:val="both"/>
        <w:rPr>
          <w:rFonts w:ascii="宋体" w:hAnsi="宋体" w:eastAsia="宋体" w:cs="Times New Roman"/>
          <w:color w:val="auto"/>
          <w:sz w:val="21"/>
          <w:szCs w:val="21"/>
        </w:rPr>
      </w:pPr>
      <w:r>
        <w:rPr>
          <w:rFonts w:hint="eastAsia" w:ascii="宋体" w:hAnsi="宋体" w:eastAsia="宋体" w:cs="宋体"/>
          <w:color w:val="auto"/>
          <w:sz w:val="21"/>
          <w:szCs w:val="21"/>
        </w:rPr>
        <w:t>勘察人未及时选派合格的勘察代表进驻施工现场，或未能在发包人和勘察人约定的时间内给予答复、完成变更勘察；</w:t>
      </w:r>
    </w:p>
    <w:p>
      <w:pPr>
        <w:pStyle w:val="60"/>
        <w:numPr>
          <w:ilvl w:val="0"/>
          <w:numId w:val="15"/>
        </w:numPr>
        <w:shd w:val="clear" w:color="auto" w:fill="auto"/>
        <w:tabs>
          <w:tab w:val="left" w:pos="1142"/>
        </w:tabs>
        <w:spacing w:before="0" w:after="0" w:line="480" w:lineRule="exact"/>
        <w:ind w:firstLine="640"/>
        <w:jc w:val="both"/>
        <w:rPr>
          <w:rFonts w:ascii="宋体" w:hAnsi="宋体" w:eastAsia="宋体" w:cs="Times New Roman"/>
          <w:color w:val="auto"/>
          <w:sz w:val="21"/>
          <w:szCs w:val="21"/>
        </w:rPr>
      </w:pPr>
      <w:r>
        <w:rPr>
          <w:rFonts w:hint="eastAsia" w:ascii="宋体" w:hAnsi="宋体" w:eastAsia="宋体" w:cs="宋体"/>
          <w:color w:val="auto"/>
          <w:sz w:val="21"/>
          <w:szCs w:val="21"/>
        </w:rPr>
        <w:t>因勘察深度不够、资料不足、方案缺陷以及勘察质量低劣而被要求返工；</w:t>
      </w:r>
    </w:p>
    <w:p>
      <w:pPr>
        <w:pStyle w:val="60"/>
        <w:numPr>
          <w:ilvl w:val="0"/>
          <w:numId w:val="15"/>
        </w:numPr>
        <w:shd w:val="clear" w:color="auto" w:fill="auto"/>
        <w:tabs>
          <w:tab w:val="left" w:pos="1254"/>
        </w:tabs>
        <w:spacing w:before="0" w:after="0" w:line="480" w:lineRule="exact"/>
        <w:ind w:firstLine="640"/>
        <w:jc w:val="both"/>
        <w:rPr>
          <w:rFonts w:ascii="宋体" w:hAnsi="宋体" w:eastAsia="宋体" w:cs="Times New Roman"/>
          <w:color w:val="auto"/>
          <w:sz w:val="21"/>
          <w:szCs w:val="21"/>
        </w:rPr>
      </w:pPr>
      <w:r>
        <w:rPr>
          <w:rFonts w:hint="eastAsia" w:ascii="宋体" w:hAnsi="宋体" w:eastAsia="宋体" w:cs="宋体"/>
          <w:color w:val="auto"/>
          <w:sz w:val="21"/>
          <w:szCs w:val="21"/>
        </w:rPr>
        <w:t>因勘察深度不够、资料不足、方案缺陷或质量低劣导致未通过上级主管部门的审查，或导致本项目造价调整率超过专用合同条款中约定的比例；</w:t>
      </w:r>
    </w:p>
    <w:p>
      <w:pPr>
        <w:pStyle w:val="60"/>
        <w:numPr>
          <w:ilvl w:val="0"/>
          <w:numId w:val="15"/>
        </w:numPr>
        <w:shd w:val="clear" w:color="auto" w:fill="auto"/>
        <w:tabs>
          <w:tab w:val="left" w:pos="1256"/>
        </w:tabs>
        <w:spacing w:before="0" w:after="0" w:line="480" w:lineRule="exact"/>
        <w:ind w:firstLine="640"/>
        <w:jc w:val="both"/>
        <w:rPr>
          <w:rFonts w:ascii="宋体" w:hAnsi="宋体" w:eastAsia="宋体" w:cs="Times New Roman"/>
          <w:color w:val="auto"/>
          <w:sz w:val="21"/>
          <w:szCs w:val="21"/>
        </w:rPr>
      </w:pPr>
      <w:r>
        <w:rPr>
          <w:rFonts w:hint="eastAsia" w:ascii="宋体" w:hAnsi="宋体" w:eastAsia="宋体" w:cs="宋体"/>
          <w:color w:val="auto"/>
          <w:sz w:val="21"/>
          <w:szCs w:val="21"/>
        </w:rPr>
        <w:t>由于勘察人的过失或责任引起本项目发生重大设计变更、较大设计变更或单个合同段因变更引起的工程费用调整累计超过专用合同条款中约定的比例，导致施工工期拖延或者给发包人造成经济损失。重大设计变更及较大设计变更的划分标准参照《公路工程设计变更管理办法》的规定执行；</w:t>
      </w:r>
    </w:p>
    <w:p>
      <w:pPr>
        <w:pStyle w:val="60"/>
        <w:numPr>
          <w:ilvl w:val="0"/>
          <w:numId w:val="15"/>
        </w:numPr>
        <w:shd w:val="clear" w:color="auto" w:fill="auto"/>
        <w:tabs>
          <w:tab w:val="left" w:pos="1289"/>
        </w:tabs>
        <w:spacing w:before="0" w:after="0" w:line="480" w:lineRule="exact"/>
        <w:ind w:firstLine="640"/>
        <w:jc w:val="both"/>
        <w:rPr>
          <w:rFonts w:ascii="宋体" w:hAnsi="宋体" w:eastAsia="宋体" w:cs="Times New Roman"/>
          <w:color w:val="auto"/>
          <w:sz w:val="21"/>
          <w:szCs w:val="21"/>
        </w:rPr>
      </w:pPr>
      <w:r>
        <w:rPr>
          <w:rFonts w:hint="eastAsia" w:ascii="宋体" w:hAnsi="宋体" w:eastAsia="宋体" w:cs="宋体"/>
          <w:color w:val="auto"/>
          <w:sz w:val="21"/>
          <w:szCs w:val="21"/>
        </w:rPr>
        <w:t>由于勘察人的过失或责任导致勘察质量事故；</w:t>
      </w:r>
    </w:p>
    <w:p>
      <w:pPr>
        <w:pStyle w:val="60"/>
        <w:numPr>
          <w:ilvl w:val="0"/>
          <w:numId w:val="15"/>
        </w:numPr>
        <w:shd w:val="clear" w:color="auto" w:fill="auto"/>
        <w:tabs>
          <w:tab w:val="left" w:pos="1289"/>
        </w:tabs>
        <w:spacing w:before="0" w:after="0" w:line="480" w:lineRule="exact"/>
        <w:ind w:firstLine="640"/>
        <w:jc w:val="both"/>
        <w:rPr>
          <w:rFonts w:ascii="宋体" w:hAnsi="宋体" w:eastAsia="宋体" w:cs="Times New Roman"/>
          <w:color w:val="auto"/>
          <w:sz w:val="21"/>
          <w:szCs w:val="21"/>
        </w:rPr>
      </w:pPr>
      <w:r>
        <w:rPr>
          <w:rFonts w:hint="eastAsia" w:ascii="宋体" w:hAnsi="宋体" w:eastAsia="宋体" w:cs="宋体"/>
          <w:color w:val="auto"/>
          <w:sz w:val="21"/>
          <w:szCs w:val="21"/>
        </w:rPr>
        <w:t>勘察人不履行合同约定的其他义务。</w:t>
      </w:r>
    </w:p>
    <w:p>
      <w:pPr>
        <w:pStyle w:val="60"/>
        <w:shd w:val="clear" w:color="auto" w:fill="auto"/>
        <w:spacing w:before="0" w:after="0" w:line="480"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14.1.2</w:t>
      </w:r>
      <w:r>
        <w:rPr>
          <w:rFonts w:hint="eastAsia" w:ascii="宋体" w:hAnsi="宋体" w:eastAsia="宋体" w:cs="宋体"/>
          <w:color w:val="auto"/>
          <w:sz w:val="21"/>
          <w:szCs w:val="21"/>
        </w:rPr>
        <w:t>勘察人发生违约情况时，发包人可向勘察人发出整改通知，要求其在限定期限内纠正；逾期仍不纠正的，发包人有权解除合同并向勘察人发出解除合同通知。勘察人应当承担由于违约所造成的费用增加、周期延误和发包人损失等。发包人有权向勘察人课以专用合同条款中约定的违约金，并由发包人将其违约行为上报省级交通运输主管部门，作为不良记录纳入公路建设市场信用信息管理系统。</w:t>
      </w:r>
    </w:p>
    <w:p>
      <w:pPr>
        <w:pStyle w:val="69"/>
        <w:shd w:val="clear" w:color="auto" w:fill="auto"/>
        <w:spacing w:before="0" w:line="480"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14.2</w:t>
      </w:r>
      <w:r>
        <w:rPr>
          <w:rFonts w:hint="eastAsia" w:ascii="宋体" w:hAnsi="宋体" w:eastAsia="宋体" w:cs="宋体"/>
          <w:color w:val="auto"/>
          <w:sz w:val="21"/>
          <w:szCs w:val="21"/>
        </w:rPr>
        <w:t>发包人违约</w:t>
      </w:r>
    </w:p>
    <w:p>
      <w:pPr>
        <w:pStyle w:val="60"/>
        <w:shd w:val="clear" w:color="auto" w:fill="auto"/>
        <w:spacing w:before="0" w:after="0" w:line="480"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14.2.1</w:t>
      </w:r>
      <w:r>
        <w:rPr>
          <w:rFonts w:hint="eastAsia" w:ascii="宋体" w:hAnsi="宋体" w:eastAsia="宋体" w:cs="宋体"/>
          <w:color w:val="auto"/>
          <w:sz w:val="21"/>
          <w:szCs w:val="21"/>
        </w:rPr>
        <w:t>合同履行中发生下列情况之一的，属发包人违约：</w:t>
      </w:r>
    </w:p>
    <w:p>
      <w:pPr>
        <w:pStyle w:val="60"/>
        <w:numPr>
          <w:ilvl w:val="0"/>
          <w:numId w:val="16"/>
        </w:numPr>
        <w:shd w:val="clear" w:color="auto" w:fill="auto"/>
        <w:tabs>
          <w:tab w:val="left" w:pos="1166"/>
        </w:tabs>
        <w:spacing w:before="0" w:after="0" w:line="480" w:lineRule="exact"/>
        <w:ind w:firstLine="640"/>
        <w:jc w:val="both"/>
        <w:rPr>
          <w:rFonts w:ascii="宋体" w:hAnsi="宋体" w:eastAsia="宋体" w:cs="Times New Roman"/>
          <w:color w:val="auto"/>
          <w:sz w:val="21"/>
          <w:szCs w:val="21"/>
        </w:rPr>
      </w:pPr>
      <w:r>
        <w:rPr>
          <w:rFonts w:hint="eastAsia" w:ascii="宋体" w:hAnsi="宋体" w:eastAsia="宋体" w:cs="宋体"/>
          <w:color w:val="auto"/>
          <w:sz w:val="21"/>
          <w:szCs w:val="21"/>
        </w:rPr>
        <w:t>发包人未按合同约定支付勘察费用；</w:t>
      </w:r>
    </w:p>
    <w:p>
      <w:pPr>
        <w:pStyle w:val="60"/>
        <w:numPr>
          <w:ilvl w:val="0"/>
          <w:numId w:val="16"/>
        </w:numPr>
        <w:shd w:val="clear" w:color="auto" w:fill="auto"/>
        <w:tabs>
          <w:tab w:val="left" w:pos="1169"/>
        </w:tabs>
        <w:spacing w:before="0" w:after="0" w:line="480" w:lineRule="exact"/>
        <w:ind w:firstLine="640"/>
        <w:jc w:val="both"/>
        <w:rPr>
          <w:rFonts w:ascii="宋体" w:hAnsi="宋体" w:eastAsia="宋体" w:cs="Times New Roman"/>
          <w:color w:val="auto"/>
          <w:sz w:val="21"/>
          <w:szCs w:val="21"/>
        </w:rPr>
      </w:pPr>
      <w:r>
        <w:rPr>
          <w:rFonts w:hint="eastAsia" w:ascii="宋体" w:hAnsi="宋体" w:eastAsia="宋体" w:cs="宋体"/>
          <w:color w:val="auto"/>
          <w:sz w:val="21"/>
          <w:szCs w:val="21"/>
        </w:rPr>
        <w:t>发包人原因造成勘察停止；</w:t>
      </w:r>
    </w:p>
    <w:p>
      <w:pPr>
        <w:pStyle w:val="60"/>
        <w:numPr>
          <w:ilvl w:val="0"/>
          <w:numId w:val="16"/>
        </w:numPr>
        <w:shd w:val="clear" w:color="auto" w:fill="auto"/>
        <w:tabs>
          <w:tab w:val="left" w:pos="1169"/>
        </w:tabs>
        <w:spacing w:before="0" w:after="0" w:line="480" w:lineRule="exact"/>
        <w:ind w:firstLine="640"/>
        <w:jc w:val="both"/>
        <w:rPr>
          <w:rFonts w:ascii="宋体" w:hAnsi="宋体" w:eastAsia="宋体" w:cs="Times New Roman"/>
          <w:color w:val="auto"/>
          <w:sz w:val="21"/>
          <w:szCs w:val="21"/>
        </w:rPr>
      </w:pPr>
      <w:r>
        <w:rPr>
          <w:rFonts w:hint="eastAsia" w:ascii="宋体" w:hAnsi="宋体" w:eastAsia="宋体" w:cs="宋体"/>
          <w:color w:val="auto"/>
          <w:sz w:val="21"/>
          <w:szCs w:val="21"/>
        </w:rPr>
        <w:t>发包人无法履行或停止履行合同；</w:t>
      </w:r>
    </w:p>
    <w:p>
      <w:pPr>
        <w:pStyle w:val="60"/>
        <w:numPr>
          <w:ilvl w:val="0"/>
          <w:numId w:val="16"/>
        </w:numPr>
        <w:shd w:val="clear" w:color="auto" w:fill="auto"/>
        <w:tabs>
          <w:tab w:val="left" w:pos="1142"/>
        </w:tabs>
        <w:spacing w:before="0" w:after="0" w:line="480" w:lineRule="exact"/>
        <w:ind w:firstLine="640"/>
        <w:jc w:val="both"/>
        <w:rPr>
          <w:rFonts w:ascii="宋体" w:hAnsi="宋体" w:eastAsia="宋体" w:cs="Times New Roman"/>
          <w:color w:val="auto"/>
          <w:sz w:val="21"/>
          <w:szCs w:val="21"/>
        </w:rPr>
      </w:pPr>
      <w:r>
        <w:rPr>
          <w:rFonts w:hint="eastAsia" w:ascii="宋体" w:hAnsi="宋体" w:eastAsia="宋体" w:cs="宋体"/>
          <w:color w:val="auto"/>
          <w:sz w:val="21"/>
          <w:szCs w:val="21"/>
        </w:rPr>
        <w:t>由于发包人变更勘察项目、规模、条件，或未按合同约定提供勘察必需的资料，造成勘察的返工、停工、窝工或修改；</w:t>
      </w:r>
    </w:p>
    <w:p>
      <w:pPr>
        <w:pStyle w:val="60"/>
        <w:numPr>
          <w:ilvl w:val="0"/>
          <w:numId w:val="16"/>
        </w:numPr>
        <w:shd w:val="clear" w:color="auto" w:fill="auto"/>
        <w:tabs>
          <w:tab w:val="left" w:pos="1169"/>
        </w:tabs>
        <w:spacing w:before="0" w:after="0" w:line="480" w:lineRule="exact"/>
        <w:ind w:firstLine="640"/>
        <w:jc w:val="both"/>
        <w:rPr>
          <w:rFonts w:ascii="宋体" w:hAnsi="宋体" w:eastAsia="宋体" w:cs="Times New Roman"/>
          <w:color w:val="auto"/>
          <w:sz w:val="21"/>
          <w:szCs w:val="21"/>
        </w:rPr>
      </w:pPr>
      <w:r>
        <w:rPr>
          <w:rFonts w:hint="eastAsia" w:ascii="宋体" w:hAnsi="宋体" w:eastAsia="宋体" w:cs="宋体"/>
          <w:color w:val="auto"/>
          <w:sz w:val="21"/>
          <w:szCs w:val="21"/>
        </w:rPr>
        <w:t>发包人无正当理由不按时返还履约保证金、质量保证金；</w:t>
      </w:r>
    </w:p>
    <w:p>
      <w:pPr>
        <w:pStyle w:val="60"/>
        <w:numPr>
          <w:ilvl w:val="0"/>
          <w:numId w:val="16"/>
        </w:numPr>
        <w:shd w:val="clear" w:color="auto" w:fill="auto"/>
        <w:tabs>
          <w:tab w:val="left" w:pos="1169"/>
        </w:tabs>
        <w:spacing w:before="0" w:after="0" w:line="480" w:lineRule="exact"/>
        <w:ind w:firstLine="640"/>
        <w:jc w:val="both"/>
        <w:rPr>
          <w:rFonts w:ascii="宋体" w:hAnsi="宋体" w:eastAsia="宋体" w:cs="Times New Roman"/>
          <w:color w:val="auto"/>
          <w:sz w:val="21"/>
          <w:szCs w:val="21"/>
        </w:rPr>
      </w:pPr>
      <w:r>
        <w:rPr>
          <w:rFonts w:hint="eastAsia" w:ascii="宋体" w:hAnsi="宋体" w:eastAsia="宋体" w:cs="宋体"/>
          <w:color w:val="auto"/>
          <w:sz w:val="21"/>
          <w:szCs w:val="21"/>
        </w:rPr>
        <w:t>发包人不履行合同约定的其他义务。</w:t>
      </w:r>
    </w:p>
    <w:p>
      <w:pPr>
        <w:pStyle w:val="60"/>
        <w:shd w:val="clear" w:color="auto" w:fill="auto"/>
        <w:spacing w:before="0" w:after="0" w:line="480"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14.2.2</w:t>
      </w:r>
      <w:r>
        <w:rPr>
          <w:rFonts w:hint="eastAsia" w:ascii="宋体" w:hAnsi="宋体" w:eastAsia="宋体" w:cs="宋体"/>
          <w:color w:val="auto"/>
          <w:sz w:val="21"/>
          <w:szCs w:val="21"/>
        </w:rPr>
        <w:t>发包人发生违约情况时，勘察人可向发包人发出暂停勘察通知，要求其在限定期限内纠正；逾期仍不纠正的，勘察人有权解除合同并向发包人发出解除合同通知。发包人应当承担由于违约所造成的费用增加、周期延误和勘察人损失等。勘察人有权向发包人课以专用合同条款中约定的违约金。</w:t>
      </w:r>
    </w:p>
    <w:p>
      <w:pPr>
        <w:pStyle w:val="64"/>
        <w:keepNext/>
        <w:keepLines/>
        <w:shd w:val="clear" w:color="auto" w:fill="auto"/>
        <w:spacing w:line="480" w:lineRule="exact"/>
        <w:ind w:firstLine="520"/>
        <w:rPr>
          <w:rFonts w:ascii="宋体" w:hAnsi="宋体" w:eastAsia="宋体" w:cs="Times New Roman"/>
          <w:color w:val="auto"/>
          <w:sz w:val="21"/>
          <w:szCs w:val="21"/>
        </w:rPr>
      </w:pPr>
      <w:bookmarkStart w:id="64" w:name="bookmark158"/>
      <w:r>
        <w:rPr>
          <w:rFonts w:ascii="宋体" w:hAnsi="宋体" w:eastAsia="宋体" w:cs="宋体"/>
          <w:color w:val="auto"/>
          <w:sz w:val="21"/>
          <w:szCs w:val="21"/>
        </w:rPr>
        <w:t>14.3</w:t>
      </w:r>
      <w:r>
        <w:rPr>
          <w:rFonts w:hint="eastAsia" w:ascii="宋体" w:hAnsi="宋体" w:eastAsia="宋体" w:cs="宋体"/>
          <w:color w:val="auto"/>
          <w:sz w:val="21"/>
          <w:szCs w:val="21"/>
        </w:rPr>
        <w:t>第三人造成的违约</w:t>
      </w:r>
      <w:bookmarkEnd w:id="64"/>
    </w:p>
    <w:p>
      <w:pPr>
        <w:pStyle w:val="60"/>
        <w:shd w:val="clear" w:color="auto" w:fill="auto"/>
        <w:spacing w:before="0" w:after="276" w:line="480" w:lineRule="exact"/>
        <w:ind w:firstLine="520"/>
        <w:jc w:val="both"/>
        <w:rPr>
          <w:rFonts w:ascii="宋体" w:hAnsi="宋体" w:eastAsia="宋体" w:cs="Times New Roman"/>
          <w:color w:val="auto"/>
          <w:sz w:val="21"/>
          <w:szCs w:val="21"/>
        </w:rPr>
      </w:pPr>
      <w:r>
        <w:rPr>
          <w:rFonts w:hint="eastAsia" w:ascii="宋体" w:hAnsi="宋体" w:eastAsia="宋体" w:cs="宋体"/>
          <w:color w:val="auto"/>
          <w:sz w:val="21"/>
          <w:szCs w:val="21"/>
        </w:rPr>
        <w:t>在履行合同过程中，一方当事人因第三人的原因造成违约的，应当向对方当事人承担违约责任。一方当事人和第三人之间的纠纷，依照法律规定或者按照约定解决。</w:t>
      </w:r>
    </w:p>
    <w:p>
      <w:pPr>
        <w:pStyle w:val="70"/>
        <w:keepNext/>
        <w:keepLines/>
        <w:numPr>
          <w:ilvl w:val="0"/>
          <w:numId w:val="2"/>
        </w:numPr>
        <w:shd w:val="clear" w:color="auto" w:fill="auto"/>
        <w:spacing w:before="0" w:after="162"/>
        <w:jc w:val="both"/>
        <w:rPr>
          <w:rFonts w:ascii="宋体" w:hAnsi="宋体" w:eastAsia="宋体" w:cs="Times New Roman"/>
          <w:color w:val="auto"/>
          <w:sz w:val="21"/>
          <w:szCs w:val="21"/>
        </w:rPr>
      </w:pPr>
      <w:bookmarkStart w:id="65" w:name="bookmark159"/>
      <w:r>
        <w:rPr>
          <w:rStyle w:val="71"/>
          <w:rFonts w:hint="eastAsia" w:ascii="宋体" w:hAnsi="宋体" w:eastAsia="宋体" w:cs="宋体"/>
          <w:color w:val="auto"/>
          <w:sz w:val="21"/>
          <w:szCs w:val="21"/>
        </w:rPr>
        <w:t>争议的解决</w:t>
      </w:r>
      <w:bookmarkEnd w:id="65"/>
    </w:p>
    <w:p>
      <w:pPr>
        <w:pStyle w:val="60"/>
        <w:shd w:val="clear" w:color="auto" w:fill="auto"/>
        <w:spacing w:before="0" w:after="0" w:line="482" w:lineRule="exact"/>
        <w:ind w:firstLine="520"/>
        <w:jc w:val="both"/>
        <w:rPr>
          <w:rFonts w:ascii="宋体" w:hAnsi="宋体" w:eastAsia="宋体" w:cs="Times New Roman"/>
          <w:color w:val="auto"/>
          <w:sz w:val="21"/>
          <w:szCs w:val="21"/>
        </w:rPr>
      </w:pPr>
      <w:r>
        <w:rPr>
          <w:rFonts w:ascii="宋体" w:hAnsi="宋体" w:eastAsia="宋体" w:cs="宋体"/>
          <w:color w:val="auto"/>
          <w:sz w:val="21"/>
          <w:szCs w:val="21"/>
        </w:rPr>
        <w:t>15.1</w:t>
      </w:r>
      <w:r>
        <w:rPr>
          <w:rFonts w:hint="eastAsia" w:ascii="宋体" w:hAnsi="宋体" w:eastAsia="宋体" w:cs="宋体"/>
          <w:color w:val="auto"/>
          <w:sz w:val="21"/>
          <w:szCs w:val="21"/>
        </w:rPr>
        <w:t>发包人和勘察人在履行合同中发生争议的，可以友好协商解决。合同当事人友好协商解决不成的，可在专用合同条款中约定按下列一种方式解决：</w:t>
      </w:r>
    </w:p>
    <w:p>
      <w:pPr>
        <w:pStyle w:val="60"/>
        <w:numPr>
          <w:ilvl w:val="0"/>
          <w:numId w:val="17"/>
        </w:numPr>
        <w:shd w:val="clear" w:color="auto" w:fill="auto"/>
        <w:tabs>
          <w:tab w:val="left" w:pos="1169"/>
        </w:tabs>
        <w:spacing w:before="0" w:after="0" w:line="482" w:lineRule="exact"/>
        <w:ind w:left="640" w:firstLine="0"/>
        <w:jc w:val="left"/>
        <w:rPr>
          <w:rFonts w:ascii="宋体" w:hAnsi="宋体" w:eastAsia="宋体" w:cs="Times New Roman"/>
          <w:color w:val="auto"/>
          <w:sz w:val="21"/>
          <w:szCs w:val="21"/>
        </w:rPr>
      </w:pPr>
      <w:r>
        <w:rPr>
          <w:rFonts w:hint="eastAsia" w:ascii="宋体" w:hAnsi="宋体" w:eastAsia="宋体" w:cs="宋体"/>
          <w:color w:val="auto"/>
          <w:sz w:val="21"/>
          <w:szCs w:val="21"/>
        </w:rPr>
        <w:t>向约定的仲裁委员会申请仲裁；</w:t>
      </w:r>
    </w:p>
    <w:p>
      <w:pPr>
        <w:pStyle w:val="60"/>
        <w:numPr>
          <w:ilvl w:val="0"/>
          <w:numId w:val="17"/>
        </w:numPr>
        <w:shd w:val="clear" w:color="auto" w:fill="auto"/>
        <w:tabs>
          <w:tab w:val="left" w:pos="1169"/>
        </w:tabs>
        <w:spacing w:before="0" w:after="0" w:line="482" w:lineRule="exact"/>
        <w:ind w:left="640" w:firstLine="0"/>
        <w:jc w:val="left"/>
        <w:rPr>
          <w:rFonts w:ascii="宋体" w:hAnsi="宋体" w:eastAsia="宋体" w:cs="Times New Roman"/>
          <w:color w:val="auto"/>
          <w:sz w:val="21"/>
          <w:szCs w:val="21"/>
        </w:rPr>
      </w:pPr>
      <w:r>
        <w:rPr>
          <w:rFonts w:hint="eastAsia" w:ascii="宋体" w:hAnsi="宋体" w:eastAsia="宋体" w:cs="宋体"/>
          <w:color w:val="auto"/>
          <w:sz w:val="21"/>
          <w:szCs w:val="21"/>
        </w:rPr>
        <w:t>向有管辖权的人民法院提起诉讼。</w:t>
      </w:r>
    </w:p>
    <w:p>
      <w:pPr>
        <w:pStyle w:val="60"/>
        <w:shd w:val="clear" w:color="auto" w:fill="auto"/>
        <w:spacing w:before="0" w:after="0" w:line="482" w:lineRule="exact"/>
        <w:ind w:firstLine="520"/>
        <w:jc w:val="both"/>
        <w:rPr>
          <w:rFonts w:ascii="宋体" w:hAnsi="宋体" w:eastAsia="宋体" w:cs="Times New Roman"/>
          <w:color w:val="auto"/>
          <w:sz w:val="21"/>
          <w:szCs w:val="21"/>
        </w:rPr>
        <w:sectPr>
          <w:headerReference r:id="rId15" w:type="default"/>
          <w:footerReference r:id="rId17" w:type="default"/>
          <w:headerReference r:id="rId16" w:type="even"/>
          <w:footerReference r:id="rId18" w:type="even"/>
          <w:pgSz w:w="11900" w:h="16840"/>
          <w:pgMar w:top="1637" w:right="1510" w:bottom="1599" w:left="1572" w:header="0" w:footer="3" w:gutter="0"/>
          <w:cols w:space="720" w:num="1"/>
          <w:docGrid w:linePitch="360" w:charSpace="0"/>
        </w:sectPr>
      </w:pPr>
      <w:r>
        <w:rPr>
          <w:rFonts w:ascii="宋体" w:hAnsi="宋体" w:eastAsia="宋体" w:cs="宋体"/>
          <w:color w:val="auto"/>
          <w:sz w:val="21"/>
          <w:szCs w:val="21"/>
        </w:rPr>
        <w:t>15.2</w:t>
      </w:r>
      <w:r>
        <w:rPr>
          <w:rFonts w:hint="eastAsia" w:ascii="宋体" w:hAnsi="宋体" w:eastAsia="宋体" w:cs="宋体"/>
          <w:color w:val="auto"/>
          <w:sz w:val="21"/>
          <w:szCs w:val="21"/>
        </w:rPr>
        <w:t>采用仲裁方式最终解决争议的项目，仲裁裁决是终局性的并对发包人和勘察人双方均具有约束力。全部仲裁费用应由败诉方承担，或按仲裁委员会裁决的比例分担。</w:t>
      </w:r>
    </w:p>
    <w:p>
      <w:pPr>
        <w:autoSpaceDE w:val="0"/>
        <w:autoSpaceDN w:val="0"/>
        <w:snapToGrid w:val="0"/>
        <w:jc w:val="center"/>
        <w:rPr>
          <w:rFonts w:ascii="黑体" w:hAnsi="Times New Roman" w:eastAsia="黑体" w:cs="Times New Roman"/>
          <w:b/>
          <w:bCs/>
          <w:color w:val="auto"/>
          <w:sz w:val="32"/>
          <w:szCs w:val="32"/>
        </w:rPr>
      </w:pPr>
      <w:r>
        <w:rPr>
          <w:rFonts w:hint="eastAsia" w:ascii="黑体" w:hAnsi="Times New Roman" w:eastAsia="黑体" w:cs="黑体"/>
          <w:b/>
          <w:bCs/>
          <w:color w:val="auto"/>
          <w:sz w:val="32"/>
          <w:szCs w:val="32"/>
        </w:rPr>
        <w:t>第二节专用合同条款</w:t>
      </w:r>
    </w:p>
    <w:p>
      <w:pPr>
        <w:pStyle w:val="50"/>
        <w:spacing w:line="360" w:lineRule="auto"/>
        <w:rPr>
          <w:rFonts w:cs="Times New Roman"/>
          <w:color w:val="auto"/>
        </w:rPr>
      </w:pPr>
      <w:r>
        <w:rPr>
          <w:rFonts w:cs="Times New Roman"/>
          <w:color w:val="auto"/>
        </w:rPr>
        <w:br w:type="page"/>
      </w:r>
      <w:r>
        <w:rPr>
          <w:rFonts w:hint="eastAsia" w:cs="宋体"/>
          <w:color w:val="auto"/>
        </w:rPr>
        <w:t>根据本项目的具体情况，对通用合同条款的内容做如下补充、细化：</w:t>
      </w:r>
    </w:p>
    <w:p>
      <w:pPr>
        <w:pStyle w:val="50"/>
        <w:spacing w:line="360" w:lineRule="auto"/>
        <w:rPr>
          <w:color w:val="auto"/>
        </w:rPr>
      </w:pPr>
      <w:r>
        <w:rPr>
          <w:b/>
          <w:bCs/>
          <w:color w:val="auto"/>
        </w:rPr>
        <w:t>1.</w:t>
      </w:r>
      <w:r>
        <w:rPr>
          <w:rFonts w:hint="eastAsia" w:cs="宋体"/>
          <w:b/>
          <w:bCs/>
          <w:color w:val="auto"/>
        </w:rPr>
        <w:t>一般约定</w:t>
      </w:r>
    </w:p>
    <w:p>
      <w:pPr>
        <w:pStyle w:val="50"/>
        <w:spacing w:line="360" w:lineRule="auto"/>
        <w:ind w:firstLine="482" w:firstLineChars="200"/>
        <w:rPr>
          <w:rFonts w:cs="Times New Roman"/>
          <w:b/>
          <w:bCs/>
          <w:color w:val="auto"/>
        </w:rPr>
      </w:pPr>
      <w:r>
        <w:rPr>
          <w:b/>
          <w:bCs/>
          <w:color w:val="auto"/>
        </w:rPr>
        <w:t xml:space="preserve">1.1 </w:t>
      </w:r>
      <w:r>
        <w:rPr>
          <w:rFonts w:hint="eastAsia" w:cs="宋体"/>
          <w:b/>
          <w:bCs/>
          <w:color w:val="auto"/>
        </w:rPr>
        <w:t>词语定义</w:t>
      </w:r>
    </w:p>
    <w:p>
      <w:pPr>
        <w:pStyle w:val="50"/>
        <w:spacing w:line="360" w:lineRule="auto"/>
        <w:ind w:firstLine="480" w:firstLineChars="200"/>
        <w:rPr>
          <w:color w:val="auto"/>
        </w:rPr>
      </w:pPr>
      <w:r>
        <w:rPr>
          <w:color w:val="auto"/>
        </w:rPr>
        <w:t xml:space="preserve">1.1.2.2 </w:t>
      </w:r>
      <w:r>
        <w:rPr>
          <w:rFonts w:hint="eastAsia" w:cs="宋体"/>
          <w:color w:val="auto"/>
        </w:rPr>
        <w:t>发包人：</w:t>
      </w:r>
      <w:r>
        <w:rPr>
          <w:rFonts w:hint="eastAsia" w:cs="宋体"/>
          <w:color w:val="auto"/>
          <w:u w:val="single"/>
        </w:rPr>
        <w:t>天津市滨海新区城投建设发展有限公司</w:t>
      </w:r>
      <w:r>
        <w:rPr>
          <w:rFonts w:hint="eastAsia" w:cs="宋体"/>
          <w:color w:val="auto"/>
        </w:rPr>
        <w:t>。</w:t>
      </w:r>
    </w:p>
    <w:p>
      <w:pPr>
        <w:pStyle w:val="50"/>
        <w:spacing w:line="360" w:lineRule="auto"/>
        <w:ind w:firstLine="480" w:firstLineChars="200"/>
        <w:rPr>
          <w:color w:val="auto"/>
        </w:rPr>
      </w:pPr>
      <w:r>
        <w:rPr>
          <w:color w:val="auto"/>
        </w:rPr>
        <w:t xml:space="preserve">1.1.3.1 </w:t>
      </w:r>
      <w:r>
        <w:rPr>
          <w:rFonts w:hint="eastAsia" w:cs="宋体"/>
          <w:color w:val="auto"/>
        </w:rPr>
        <w:t>本次进行勘察招标的项目为</w:t>
      </w:r>
      <w:r>
        <w:rPr>
          <w:rFonts w:hint="eastAsia"/>
          <w:color w:val="auto"/>
          <w:u w:val="single"/>
        </w:rPr>
        <w:t>天津建设世界一流南部集</w:t>
      </w:r>
      <w:r>
        <w:rPr>
          <w:rFonts w:hint="eastAsia"/>
          <w:color w:val="auto"/>
          <w:u w:val="single"/>
          <w:lang w:eastAsia="zh-CN"/>
        </w:rPr>
        <w:t>疏</w:t>
      </w:r>
      <w:r>
        <w:rPr>
          <w:rFonts w:hint="eastAsia"/>
          <w:color w:val="auto"/>
          <w:u w:val="single"/>
        </w:rPr>
        <w:t>运配套（海景大道南延）项目</w:t>
      </w:r>
    </w:p>
    <w:p>
      <w:pPr>
        <w:pStyle w:val="50"/>
        <w:spacing w:line="360" w:lineRule="auto"/>
        <w:ind w:firstLine="482" w:firstLineChars="200"/>
        <w:rPr>
          <w:rFonts w:cs="Times New Roman"/>
          <w:b/>
          <w:bCs/>
          <w:color w:val="auto"/>
        </w:rPr>
      </w:pPr>
      <w:r>
        <w:rPr>
          <w:b/>
          <w:bCs/>
          <w:color w:val="auto"/>
        </w:rPr>
        <w:t xml:space="preserve">1.6 </w:t>
      </w:r>
      <w:r>
        <w:rPr>
          <w:rFonts w:hint="eastAsia" w:cs="宋体"/>
          <w:b/>
          <w:bCs/>
          <w:color w:val="auto"/>
        </w:rPr>
        <w:t>文件的提供和照管</w:t>
      </w:r>
    </w:p>
    <w:p>
      <w:pPr>
        <w:pStyle w:val="50"/>
        <w:spacing w:line="360" w:lineRule="auto"/>
        <w:ind w:firstLine="480" w:firstLineChars="200"/>
        <w:rPr>
          <w:rFonts w:cs="Times New Roman"/>
          <w:color w:val="auto"/>
        </w:rPr>
      </w:pPr>
      <w:r>
        <w:rPr>
          <w:color w:val="auto"/>
        </w:rPr>
        <w:t xml:space="preserve">1.6.2 </w:t>
      </w:r>
      <w:r>
        <w:rPr>
          <w:rFonts w:hint="eastAsia" w:cs="宋体"/>
          <w:color w:val="auto"/>
        </w:rPr>
        <w:t>发包人负责提供的文件包括：</w:t>
      </w:r>
      <w:r>
        <w:rPr>
          <w:rFonts w:hint="eastAsia" w:cs="宋体"/>
          <w:color w:val="auto"/>
          <w:u w:val="single"/>
        </w:rPr>
        <w:t>基础资料、勘察任务书等</w:t>
      </w:r>
      <w:r>
        <w:rPr>
          <w:rFonts w:hint="eastAsia" w:cs="宋体"/>
          <w:color w:val="auto"/>
        </w:rPr>
        <w:t>，提供数量：</w:t>
      </w:r>
      <w:r>
        <w:rPr>
          <w:rFonts w:hint="eastAsia"/>
          <w:color w:val="auto"/>
          <w:u w:val="single"/>
        </w:rPr>
        <w:t>2</w:t>
      </w:r>
      <w:r>
        <w:rPr>
          <w:rFonts w:hint="eastAsia" w:cs="宋体"/>
          <w:color w:val="auto"/>
          <w:u w:val="single"/>
        </w:rPr>
        <w:t>份</w:t>
      </w:r>
      <w:r>
        <w:rPr>
          <w:rFonts w:hint="eastAsia" w:cs="宋体"/>
          <w:color w:val="auto"/>
        </w:rPr>
        <w:t>，提供期限：</w:t>
      </w:r>
      <w:r>
        <w:rPr>
          <w:rFonts w:hint="eastAsia" w:cs="宋体"/>
          <w:color w:val="auto"/>
          <w:u w:val="single"/>
        </w:rPr>
        <w:t>签订合同</w:t>
      </w:r>
      <w:r>
        <w:rPr>
          <w:color w:val="auto"/>
          <w:u w:val="single"/>
        </w:rPr>
        <w:t>3</w:t>
      </w:r>
      <w:r>
        <w:rPr>
          <w:rFonts w:hint="eastAsia" w:cs="宋体"/>
          <w:color w:val="auto"/>
          <w:u w:val="single"/>
        </w:rPr>
        <w:t>日内</w:t>
      </w:r>
      <w:r>
        <w:rPr>
          <w:rFonts w:hint="eastAsia" w:cs="宋体"/>
          <w:color w:val="auto"/>
        </w:rPr>
        <w:t>。</w:t>
      </w:r>
    </w:p>
    <w:p>
      <w:pPr>
        <w:pStyle w:val="50"/>
        <w:spacing w:line="360" w:lineRule="auto"/>
        <w:rPr>
          <w:rFonts w:cs="Times New Roman"/>
          <w:b/>
          <w:bCs/>
          <w:color w:val="auto"/>
        </w:rPr>
      </w:pPr>
      <w:r>
        <w:rPr>
          <w:b/>
          <w:bCs/>
          <w:color w:val="auto"/>
        </w:rPr>
        <w:t>3.</w:t>
      </w:r>
      <w:r>
        <w:rPr>
          <w:rFonts w:hint="eastAsia" w:cs="宋体"/>
          <w:b/>
          <w:bCs/>
          <w:color w:val="auto"/>
        </w:rPr>
        <w:t>发包人管理</w:t>
      </w:r>
    </w:p>
    <w:p>
      <w:pPr>
        <w:pStyle w:val="50"/>
        <w:spacing w:line="360" w:lineRule="auto"/>
        <w:ind w:firstLine="482" w:firstLineChars="200"/>
        <w:rPr>
          <w:rFonts w:cs="Times New Roman"/>
          <w:b/>
          <w:bCs/>
          <w:color w:val="auto"/>
        </w:rPr>
      </w:pPr>
      <w:r>
        <w:rPr>
          <w:b/>
          <w:bCs/>
          <w:color w:val="auto"/>
        </w:rPr>
        <w:t xml:space="preserve">3.2 </w:t>
      </w:r>
      <w:r>
        <w:rPr>
          <w:rFonts w:hint="eastAsia" w:cs="宋体"/>
          <w:b/>
          <w:bCs/>
          <w:color w:val="auto"/>
        </w:rPr>
        <w:t>监理人</w:t>
      </w:r>
    </w:p>
    <w:p>
      <w:pPr>
        <w:pStyle w:val="50"/>
        <w:spacing w:line="360" w:lineRule="auto"/>
        <w:ind w:firstLine="480" w:firstLineChars="200"/>
        <w:rPr>
          <w:rFonts w:cs="Times New Roman"/>
          <w:color w:val="auto"/>
        </w:rPr>
      </w:pPr>
      <w:r>
        <w:rPr>
          <w:color w:val="auto"/>
        </w:rPr>
        <w:t xml:space="preserve">3.2.1 </w:t>
      </w:r>
      <w:r>
        <w:rPr>
          <w:rFonts w:hint="eastAsia" w:cs="宋体"/>
          <w:color w:val="auto"/>
        </w:rPr>
        <w:t>本工程是否委托监理人进行设计监理：</w:t>
      </w:r>
      <w:r>
        <w:rPr>
          <w:rFonts w:hint="eastAsia" w:cs="宋体"/>
          <w:color w:val="auto"/>
          <w:u w:val="single"/>
        </w:rPr>
        <w:t>否</w:t>
      </w:r>
      <w:r>
        <w:rPr>
          <w:rFonts w:hint="eastAsia" w:cs="宋体"/>
          <w:color w:val="auto"/>
        </w:rPr>
        <w:t>。</w:t>
      </w:r>
    </w:p>
    <w:p>
      <w:pPr>
        <w:pStyle w:val="50"/>
        <w:spacing w:line="360" w:lineRule="auto"/>
        <w:ind w:firstLine="480" w:firstLineChars="200"/>
        <w:rPr>
          <w:rFonts w:cs="Times New Roman"/>
          <w:color w:val="auto"/>
        </w:rPr>
      </w:pPr>
      <w:r>
        <w:rPr>
          <w:rFonts w:hint="eastAsia" w:cs="宋体"/>
          <w:color w:val="auto"/>
        </w:rPr>
        <w:t>如进行设计监理，监理人的监理范围包括：</w:t>
      </w:r>
      <w:r>
        <w:rPr>
          <w:color w:val="auto"/>
          <w:u w:val="single"/>
        </w:rPr>
        <w:t xml:space="preserve"> / </w:t>
      </w:r>
      <w:r>
        <w:rPr>
          <w:rFonts w:hint="eastAsia" w:cs="宋体"/>
          <w:color w:val="auto"/>
        </w:rPr>
        <w:t>；职责权限：</w:t>
      </w:r>
      <w:r>
        <w:rPr>
          <w:color w:val="auto"/>
          <w:u w:val="single"/>
        </w:rPr>
        <w:t xml:space="preserve"> / </w:t>
      </w:r>
      <w:r>
        <w:rPr>
          <w:rFonts w:hint="eastAsia" w:cs="宋体"/>
          <w:color w:val="auto"/>
        </w:rPr>
        <w:t>；总监理工程师：</w:t>
      </w:r>
      <w:r>
        <w:rPr>
          <w:color w:val="auto"/>
          <w:u w:val="single"/>
        </w:rPr>
        <w:t xml:space="preserve"> / </w:t>
      </w:r>
      <w:r>
        <w:rPr>
          <w:rFonts w:hint="eastAsia" w:cs="宋体"/>
          <w:color w:val="auto"/>
        </w:rPr>
        <w:t>。</w:t>
      </w:r>
    </w:p>
    <w:p>
      <w:pPr>
        <w:pStyle w:val="50"/>
        <w:spacing w:line="360" w:lineRule="auto"/>
        <w:ind w:firstLine="482" w:firstLineChars="200"/>
        <w:rPr>
          <w:rFonts w:cs="Times New Roman"/>
          <w:b/>
          <w:bCs/>
          <w:color w:val="auto"/>
        </w:rPr>
      </w:pPr>
      <w:r>
        <w:rPr>
          <w:b/>
          <w:bCs/>
          <w:color w:val="auto"/>
        </w:rPr>
        <w:t xml:space="preserve">3.4 </w:t>
      </w:r>
      <w:r>
        <w:rPr>
          <w:rFonts w:hint="eastAsia" w:cs="宋体"/>
          <w:b/>
          <w:bCs/>
          <w:color w:val="auto"/>
        </w:rPr>
        <w:t>决定或答复</w:t>
      </w:r>
    </w:p>
    <w:p>
      <w:pPr>
        <w:pStyle w:val="50"/>
        <w:spacing w:line="360" w:lineRule="auto"/>
        <w:ind w:firstLine="480" w:firstLineChars="200"/>
        <w:rPr>
          <w:rFonts w:cs="Times New Roman"/>
          <w:color w:val="auto"/>
        </w:rPr>
      </w:pPr>
      <w:r>
        <w:rPr>
          <w:color w:val="auto"/>
        </w:rPr>
        <w:t xml:space="preserve">3.4.2 </w:t>
      </w:r>
      <w:r>
        <w:rPr>
          <w:rFonts w:hint="eastAsia" w:cs="宋体"/>
          <w:color w:val="auto"/>
        </w:rPr>
        <w:t>发包人应在收到勘察人书面提出的事项后</w:t>
      </w:r>
      <w:r>
        <w:rPr>
          <w:color w:val="auto"/>
          <w:u w:val="single"/>
        </w:rPr>
        <w:t xml:space="preserve">  7  </w:t>
      </w:r>
      <w:r>
        <w:rPr>
          <w:rFonts w:hint="eastAsia" w:cs="宋体"/>
          <w:color w:val="auto"/>
        </w:rPr>
        <w:t>天内作出书面答复。</w:t>
      </w:r>
    </w:p>
    <w:p>
      <w:pPr>
        <w:pStyle w:val="50"/>
        <w:spacing w:line="360" w:lineRule="auto"/>
        <w:rPr>
          <w:rFonts w:cs="Times New Roman"/>
          <w:b/>
          <w:bCs/>
          <w:color w:val="auto"/>
        </w:rPr>
      </w:pPr>
      <w:r>
        <w:rPr>
          <w:b/>
          <w:bCs/>
          <w:color w:val="auto"/>
        </w:rPr>
        <w:t>5.</w:t>
      </w:r>
      <w:r>
        <w:rPr>
          <w:rFonts w:hint="eastAsia" w:cs="宋体"/>
          <w:b/>
          <w:bCs/>
          <w:color w:val="auto"/>
        </w:rPr>
        <w:t>勘察要求</w:t>
      </w:r>
    </w:p>
    <w:p>
      <w:pPr>
        <w:pStyle w:val="50"/>
        <w:spacing w:line="360" w:lineRule="auto"/>
        <w:ind w:firstLine="482" w:firstLineChars="200"/>
        <w:rPr>
          <w:rFonts w:cs="Times New Roman"/>
          <w:b/>
          <w:bCs/>
          <w:color w:val="auto"/>
        </w:rPr>
      </w:pPr>
      <w:r>
        <w:rPr>
          <w:b/>
          <w:bCs/>
          <w:color w:val="auto"/>
        </w:rPr>
        <w:t>5.3</w:t>
      </w:r>
      <w:r>
        <w:rPr>
          <w:rFonts w:hint="eastAsia" w:cs="宋体"/>
          <w:b/>
          <w:bCs/>
          <w:color w:val="auto"/>
        </w:rPr>
        <w:t>勘察范围</w:t>
      </w:r>
    </w:p>
    <w:p>
      <w:pPr>
        <w:pStyle w:val="69"/>
        <w:shd w:val="clear" w:color="auto" w:fill="auto"/>
        <w:spacing w:before="0" w:line="360" w:lineRule="auto"/>
        <w:ind w:left="520"/>
        <w:jc w:val="both"/>
        <w:rPr>
          <w:rFonts w:hint="default" w:ascii="宋体" w:hAnsi="宋体" w:eastAsia="宋体" w:cs="宋体"/>
          <w:color w:val="auto"/>
          <w:sz w:val="21"/>
          <w:szCs w:val="21"/>
          <w:lang w:val="en-US" w:eastAsia="zh-CN"/>
        </w:rPr>
      </w:pPr>
      <w:r>
        <w:rPr>
          <w:rFonts w:hint="eastAsia" w:ascii="Calibri" w:hAnsi="Calibri" w:eastAsia="宋体" w:cs="宋体"/>
          <w:b w:val="0"/>
          <w:bCs w:val="0"/>
          <w:color w:val="auto"/>
          <w:spacing w:val="0"/>
          <w:sz w:val="24"/>
          <w:szCs w:val="24"/>
        </w:rPr>
        <w:t>5.3.2 工程范围包括：</w:t>
      </w:r>
      <w:r>
        <w:rPr>
          <w:rFonts w:hint="eastAsia" w:ascii="Calibri" w:hAnsi="Calibri" w:eastAsia="宋体" w:cs="宋体"/>
          <w:b w:val="0"/>
          <w:bCs w:val="0"/>
          <w:color w:val="auto"/>
          <w:spacing w:val="0"/>
          <w:sz w:val="24"/>
          <w:szCs w:val="24"/>
          <w:u w:val="single"/>
          <w:lang w:eastAsia="zh-CN"/>
        </w:rPr>
        <w:t>项目新建海景大道南延工程，自北穿港路，至创业路，双向四车道一级公路标准，长度约</w:t>
      </w:r>
      <w:r>
        <w:rPr>
          <w:rFonts w:hint="eastAsia" w:ascii="Calibri" w:hAnsi="Calibri" w:eastAsia="宋体" w:cs="宋体"/>
          <w:b w:val="0"/>
          <w:bCs w:val="0"/>
          <w:color w:val="auto"/>
          <w:spacing w:val="0"/>
          <w:sz w:val="24"/>
          <w:szCs w:val="24"/>
          <w:u w:val="single"/>
          <w:lang w:val="en-US" w:eastAsia="zh-CN"/>
        </w:rPr>
        <w:t>1.3公里。项目对滨海北路、北穿港路与海景大道交口进行拓宽，新建货运停车场一座。</w:t>
      </w:r>
    </w:p>
    <w:p>
      <w:pPr>
        <w:autoSpaceDE w:val="0"/>
        <w:autoSpaceDN w:val="0"/>
        <w:snapToGrid w:val="0"/>
        <w:spacing w:line="360" w:lineRule="auto"/>
        <w:ind w:firstLine="480"/>
        <w:jc w:val="left"/>
        <w:rPr>
          <w:rFonts w:cs="宋体"/>
          <w:color w:val="auto"/>
          <w:sz w:val="24"/>
          <w:szCs w:val="24"/>
          <w:u w:val="single"/>
        </w:rPr>
      </w:pPr>
      <w:r>
        <w:rPr>
          <w:color w:val="auto"/>
          <w:sz w:val="24"/>
          <w:szCs w:val="24"/>
        </w:rPr>
        <w:t xml:space="preserve">5.3.3 </w:t>
      </w:r>
      <w:r>
        <w:rPr>
          <w:rFonts w:hint="eastAsia" w:cs="宋体"/>
          <w:color w:val="auto"/>
          <w:sz w:val="24"/>
          <w:szCs w:val="24"/>
        </w:rPr>
        <w:t>阶段范围包括：</w:t>
      </w:r>
      <w:r>
        <w:rPr>
          <w:rFonts w:hint="eastAsia" w:cs="宋体"/>
          <w:color w:val="auto"/>
          <w:sz w:val="24"/>
          <w:szCs w:val="24"/>
          <w:u w:val="single"/>
        </w:rPr>
        <w:t>包括工程初步勘察和详细勘察</w:t>
      </w:r>
    </w:p>
    <w:p>
      <w:pPr>
        <w:autoSpaceDE w:val="0"/>
        <w:autoSpaceDN w:val="0"/>
        <w:snapToGrid w:val="0"/>
        <w:spacing w:line="360" w:lineRule="auto"/>
        <w:ind w:firstLine="480"/>
        <w:jc w:val="left"/>
        <w:rPr>
          <w:rFonts w:hint="eastAsia" w:cs="宋体"/>
          <w:color w:val="auto"/>
          <w:sz w:val="24"/>
          <w:szCs w:val="24"/>
          <w:u w:val="single"/>
        </w:rPr>
      </w:pPr>
      <w:r>
        <w:rPr>
          <w:color w:val="auto"/>
          <w:sz w:val="24"/>
          <w:szCs w:val="24"/>
        </w:rPr>
        <w:t xml:space="preserve">5.3.4 </w:t>
      </w:r>
      <w:r>
        <w:rPr>
          <w:rFonts w:hint="eastAsia" w:cs="宋体"/>
          <w:color w:val="auto"/>
          <w:sz w:val="24"/>
          <w:szCs w:val="24"/>
        </w:rPr>
        <w:t>工作范围包括：</w:t>
      </w:r>
      <w:r>
        <w:rPr>
          <w:rFonts w:hint="eastAsia" w:cs="宋体"/>
          <w:color w:val="auto"/>
          <w:sz w:val="24"/>
          <w:szCs w:val="24"/>
          <w:u w:val="single"/>
        </w:rPr>
        <w:t>主要包括路线设计、路基工程、路面工程、过路箱涵工程、桥梁工程、路线交叉、交通设施、照明工程、绿化工程及配套停车场建设。负责查明拟建场地地层分布特征及各层土物理力学性质，为设计提供所需的各类地质参数，编制岩土工程勘察报告并通过相关审查。</w:t>
      </w:r>
    </w:p>
    <w:p>
      <w:pPr>
        <w:pStyle w:val="50"/>
        <w:spacing w:line="360" w:lineRule="auto"/>
        <w:ind w:firstLine="482" w:firstLineChars="200"/>
        <w:rPr>
          <w:rFonts w:cs="Times New Roman"/>
          <w:b/>
          <w:bCs/>
          <w:color w:val="auto"/>
        </w:rPr>
      </w:pPr>
      <w:r>
        <w:rPr>
          <w:b/>
          <w:bCs/>
          <w:color w:val="auto"/>
        </w:rPr>
        <w:t xml:space="preserve">5.4 </w:t>
      </w:r>
      <w:r>
        <w:rPr>
          <w:rFonts w:hint="eastAsia" w:cs="宋体"/>
          <w:b/>
          <w:bCs/>
          <w:color w:val="auto"/>
        </w:rPr>
        <w:t>安全作业要求</w:t>
      </w:r>
    </w:p>
    <w:p>
      <w:pPr>
        <w:pStyle w:val="50"/>
        <w:spacing w:line="360" w:lineRule="auto"/>
        <w:ind w:firstLine="480" w:firstLineChars="200"/>
        <w:rPr>
          <w:rFonts w:cs="Times New Roman"/>
          <w:color w:val="auto"/>
        </w:rPr>
      </w:pPr>
      <w:r>
        <w:rPr>
          <w:color w:val="auto"/>
        </w:rPr>
        <w:t xml:space="preserve">5.4.1 </w:t>
      </w:r>
      <w:r>
        <w:rPr>
          <w:rFonts w:hint="eastAsia" w:cs="宋体"/>
          <w:color w:val="auto"/>
        </w:rPr>
        <w:t>勘察人编制安全措施计划的期限：</w:t>
      </w:r>
      <w:r>
        <w:rPr>
          <w:rFonts w:hint="eastAsia" w:cs="宋体"/>
          <w:color w:val="auto"/>
          <w:u w:val="single"/>
        </w:rPr>
        <w:t>自签订勘察合同开始后</w:t>
      </w:r>
      <w:r>
        <w:rPr>
          <w:color w:val="auto"/>
          <w:u w:val="single"/>
        </w:rPr>
        <w:t>7</w:t>
      </w:r>
      <w:r>
        <w:rPr>
          <w:rFonts w:hint="eastAsia" w:cs="宋体"/>
          <w:color w:val="auto"/>
          <w:u w:val="single"/>
        </w:rPr>
        <w:t>日内</w:t>
      </w:r>
      <w:r>
        <w:rPr>
          <w:rFonts w:hint="eastAsia" w:cs="宋体"/>
          <w:color w:val="auto"/>
        </w:rPr>
        <w:t>。</w:t>
      </w:r>
    </w:p>
    <w:p>
      <w:pPr>
        <w:pStyle w:val="50"/>
        <w:spacing w:line="360" w:lineRule="auto"/>
        <w:rPr>
          <w:rFonts w:cs="Times New Roman"/>
          <w:b/>
          <w:bCs/>
          <w:color w:val="auto"/>
        </w:rPr>
      </w:pPr>
      <w:r>
        <w:rPr>
          <w:b/>
          <w:bCs/>
          <w:color w:val="auto"/>
        </w:rPr>
        <w:t xml:space="preserve">6. </w:t>
      </w:r>
      <w:r>
        <w:rPr>
          <w:rFonts w:hint="eastAsia" w:cs="宋体"/>
          <w:b/>
          <w:bCs/>
          <w:color w:val="auto"/>
        </w:rPr>
        <w:t>开始勘察和完成勘察</w:t>
      </w:r>
    </w:p>
    <w:p>
      <w:pPr>
        <w:pStyle w:val="50"/>
        <w:spacing w:line="360" w:lineRule="auto"/>
        <w:ind w:firstLine="482" w:firstLineChars="200"/>
        <w:rPr>
          <w:rFonts w:cs="Times New Roman"/>
          <w:color w:val="auto"/>
        </w:rPr>
      </w:pPr>
      <w:r>
        <w:rPr>
          <w:b/>
          <w:bCs/>
          <w:color w:val="auto"/>
        </w:rPr>
        <w:t xml:space="preserve">6.1 </w:t>
      </w:r>
      <w:r>
        <w:rPr>
          <w:rFonts w:hint="eastAsia" w:cs="宋体"/>
          <w:b/>
          <w:bCs/>
          <w:color w:val="auto"/>
        </w:rPr>
        <w:t>开始勘察</w:t>
      </w:r>
    </w:p>
    <w:p>
      <w:pPr>
        <w:pStyle w:val="50"/>
        <w:spacing w:line="360" w:lineRule="auto"/>
        <w:ind w:firstLine="480" w:firstLineChars="200"/>
        <w:rPr>
          <w:rFonts w:cs="Times New Roman"/>
          <w:color w:val="auto"/>
        </w:rPr>
      </w:pPr>
      <w:r>
        <w:rPr>
          <w:color w:val="auto"/>
        </w:rPr>
        <w:t xml:space="preserve">6.1.1 </w:t>
      </w:r>
      <w:r>
        <w:rPr>
          <w:rFonts w:hint="eastAsia" w:cs="宋体"/>
          <w:color w:val="auto"/>
        </w:rPr>
        <w:t>满足以下条件时，发包人应向勘察人发出开始勘察通知：</w:t>
      </w:r>
      <w:r>
        <w:rPr>
          <w:rFonts w:hint="eastAsia" w:cs="宋体"/>
          <w:color w:val="auto"/>
          <w:u w:val="single"/>
        </w:rPr>
        <w:t>合同签订后</w:t>
      </w:r>
      <w:r>
        <w:rPr>
          <w:rFonts w:hint="eastAsia" w:cs="宋体"/>
          <w:color w:val="auto"/>
        </w:rPr>
        <w:t>。</w:t>
      </w:r>
    </w:p>
    <w:p>
      <w:pPr>
        <w:pStyle w:val="60"/>
        <w:shd w:val="clear" w:color="auto" w:fill="auto"/>
        <w:tabs>
          <w:tab w:val="left" w:leader="underscore" w:pos="1576"/>
        </w:tabs>
        <w:spacing w:before="0" w:after="0" w:line="360" w:lineRule="auto"/>
        <w:ind w:left="520" w:firstLine="0"/>
        <w:jc w:val="both"/>
        <w:rPr>
          <w:rFonts w:ascii="宋体" w:hAnsi="宋体" w:eastAsia="宋体" w:cs="宋体"/>
          <w:color w:val="auto"/>
        </w:rPr>
      </w:pPr>
      <w:r>
        <w:rPr>
          <w:rFonts w:hint="eastAsia" w:cs="宋体"/>
          <w:color w:val="auto"/>
          <w:sz w:val="24"/>
          <w:szCs w:val="24"/>
        </w:rPr>
        <w:t>勘察服务周期安排：</w:t>
      </w:r>
      <w:r>
        <w:rPr>
          <w:rFonts w:hint="eastAsia" w:ascii="Calibri" w:hAnsi="Calibri" w:eastAsia="宋体" w:cs="宋体"/>
          <w:color w:val="auto"/>
          <w:sz w:val="24"/>
          <w:szCs w:val="24"/>
          <w:u w:val="single"/>
          <w:lang w:val="en-US" w:eastAsia="zh-CN" w:bidi="ar-SA"/>
        </w:rPr>
        <w:t>（1）合同签订后30天内，通过初勘提交初勘报告送审稿；（2）初步设计文件批复后60天内，通过详勘提交详勘报告送审稿；（3）根据咨询单位、发包人和上级主管部门审查意见，对勘察报告提交勘察报告最终稿；（4）施工现场配合服务：从项目开工至项目竣工验收。</w:t>
      </w:r>
    </w:p>
    <w:p>
      <w:pPr>
        <w:pStyle w:val="60"/>
        <w:shd w:val="clear" w:color="auto" w:fill="auto"/>
        <w:tabs>
          <w:tab w:val="left" w:leader="underscore" w:pos="1576"/>
        </w:tabs>
        <w:spacing w:before="0" w:after="0" w:line="360" w:lineRule="auto"/>
        <w:ind w:left="520" w:firstLine="0"/>
        <w:jc w:val="both"/>
        <w:rPr>
          <w:rFonts w:ascii="宋体" w:hAnsi="宋体" w:eastAsia="宋体" w:cs="宋体"/>
          <w:color w:val="auto"/>
        </w:rPr>
      </w:pPr>
    </w:p>
    <w:p>
      <w:pPr>
        <w:autoSpaceDE w:val="0"/>
        <w:autoSpaceDN w:val="0"/>
        <w:snapToGrid w:val="0"/>
        <w:spacing w:line="360" w:lineRule="auto"/>
        <w:ind w:firstLine="480"/>
        <w:jc w:val="left"/>
        <w:rPr>
          <w:rFonts w:cs="Times New Roman"/>
          <w:color w:val="auto"/>
          <w:sz w:val="24"/>
          <w:szCs w:val="24"/>
        </w:rPr>
      </w:pPr>
    </w:p>
    <w:p>
      <w:pPr>
        <w:pStyle w:val="50"/>
        <w:spacing w:line="360" w:lineRule="auto"/>
        <w:ind w:firstLine="482" w:firstLineChars="200"/>
        <w:rPr>
          <w:rFonts w:cs="Times New Roman"/>
          <w:b/>
          <w:bCs/>
          <w:color w:val="auto"/>
        </w:rPr>
      </w:pPr>
      <w:r>
        <w:rPr>
          <w:b/>
          <w:bCs/>
          <w:color w:val="auto"/>
        </w:rPr>
        <w:t xml:space="preserve">6.2 </w:t>
      </w:r>
      <w:r>
        <w:rPr>
          <w:rFonts w:hint="eastAsia" w:cs="宋体"/>
          <w:b/>
          <w:bCs/>
          <w:color w:val="auto"/>
        </w:rPr>
        <w:t>发包人引起的周期延误</w:t>
      </w:r>
    </w:p>
    <w:p>
      <w:pPr>
        <w:pStyle w:val="50"/>
        <w:spacing w:line="360" w:lineRule="auto"/>
        <w:ind w:firstLine="480" w:firstLineChars="200"/>
        <w:rPr>
          <w:rFonts w:cs="Times New Roman"/>
          <w:color w:val="auto"/>
        </w:rPr>
      </w:pPr>
      <w:r>
        <w:rPr>
          <w:rFonts w:hint="eastAsia" w:cs="宋体"/>
          <w:color w:val="auto"/>
        </w:rPr>
        <w:t>由于发包人原因造成勘察服务期限延误的，延长勘察服务期限的计算方法：</w:t>
      </w:r>
      <w:r>
        <w:rPr>
          <w:color w:val="auto"/>
          <w:u w:val="single"/>
        </w:rPr>
        <w:t xml:space="preserve">    / </w:t>
      </w:r>
      <w:r>
        <w:rPr>
          <w:rFonts w:hint="eastAsia" w:cs="宋体"/>
          <w:color w:val="auto"/>
        </w:rPr>
        <w:t>；增加费用的计算方法：</w:t>
      </w:r>
      <w:r>
        <w:rPr>
          <w:color w:val="auto"/>
          <w:u w:val="single"/>
        </w:rPr>
        <w:t xml:space="preserve">  /  </w:t>
      </w:r>
      <w:r>
        <w:rPr>
          <w:rFonts w:hint="eastAsia" w:cs="宋体"/>
          <w:color w:val="auto"/>
        </w:rPr>
        <w:t>。</w:t>
      </w:r>
    </w:p>
    <w:p>
      <w:pPr>
        <w:pStyle w:val="50"/>
        <w:spacing w:line="360" w:lineRule="auto"/>
        <w:ind w:firstLine="482" w:firstLineChars="200"/>
        <w:rPr>
          <w:rFonts w:cs="Times New Roman"/>
          <w:b/>
          <w:bCs/>
          <w:color w:val="auto"/>
        </w:rPr>
      </w:pPr>
      <w:r>
        <w:rPr>
          <w:b/>
          <w:bCs/>
          <w:color w:val="auto"/>
        </w:rPr>
        <w:t xml:space="preserve">6.3 </w:t>
      </w:r>
      <w:r>
        <w:rPr>
          <w:rFonts w:hint="eastAsia" w:cs="宋体"/>
          <w:b/>
          <w:bCs/>
          <w:color w:val="auto"/>
        </w:rPr>
        <w:t>勘察人引起的周期延误</w:t>
      </w:r>
    </w:p>
    <w:p>
      <w:pPr>
        <w:pStyle w:val="50"/>
        <w:spacing w:line="360" w:lineRule="auto"/>
        <w:ind w:firstLine="480" w:firstLineChars="200"/>
        <w:rPr>
          <w:rFonts w:cs="Times New Roman"/>
          <w:color w:val="auto"/>
        </w:rPr>
      </w:pPr>
      <w:r>
        <w:rPr>
          <w:rFonts w:hint="eastAsia" w:cs="宋体"/>
          <w:color w:val="auto"/>
        </w:rPr>
        <w:t>逾期违约金的计算方法：</w:t>
      </w:r>
      <w:r>
        <w:rPr>
          <w:color w:val="auto"/>
          <w:u w:val="single"/>
        </w:rPr>
        <w:t xml:space="preserve"> 10000</w:t>
      </w:r>
      <w:r>
        <w:rPr>
          <w:rFonts w:hint="eastAsia" w:cs="宋体"/>
          <w:color w:val="auto"/>
          <w:u w:val="single"/>
        </w:rPr>
        <w:t>元／天</w:t>
      </w:r>
      <w:r>
        <w:rPr>
          <w:rFonts w:hint="eastAsia" w:cs="宋体"/>
          <w:color w:val="auto"/>
        </w:rPr>
        <w:t>；逾期违约金的最高限额：</w:t>
      </w:r>
      <w:r>
        <w:rPr>
          <w:rFonts w:hint="eastAsia" w:cs="宋体"/>
          <w:color w:val="auto"/>
          <w:u w:val="single"/>
        </w:rPr>
        <w:t>合同价的</w:t>
      </w:r>
      <w:r>
        <w:rPr>
          <w:color w:val="auto"/>
          <w:u w:val="single"/>
        </w:rPr>
        <w:t xml:space="preserve">40%   </w:t>
      </w:r>
      <w:r>
        <w:rPr>
          <w:rFonts w:hint="eastAsia" w:cs="宋体"/>
          <w:color w:val="auto"/>
        </w:rPr>
        <w:t>。</w:t>
      </w:r>
    </w:p>
    <w:p>
      <w:pPr>
        <w:pStyle w:val="50"/>
        <w:spacing w:line="360" w:lineRule="auto"/>
        <w:ind w:firstLine="482" w:firstLineChars="200"/>
        <w:rPr>
          <w:rFonts w:cs="Times New Roman"/>
          <w:b/>
          <w:bCs/>
          <w:color w:val="auto"/>
        </w:rPr>
      </w:pPr>
      <w:r>
        <w:rPr>
          <w:b/>
          <w:bCs/>
          <w:color w:val="auto"/>
        </w:rPr>
        <w:t xml:space="preserve">6.5 </w:t>
      </w:r>
      <w:r>
        <w:rPr>
          <w:rFonts w:hint="eastAsia" w:cs="宋体"/>
          <w:b/>
          <w:bCs/>
          <w:color w:val="auto"/>
        </w:rPr>
        <w:t>非人为因素引起的周期延误</w:t>
      </w:r>
    </w:p>
    <w:p>
      <w:pPr>
        <w:pStyle w:val="50"/>
        <w:spacing w:line="360" w:lineRule="auto"/>
        <w:ind w:firstLine="480" w:firstLineChars="200"/>
        <w:rPr>
          <w:rFonts w:cs="Times New Roman"/>
          <w:color w:val="auto"/>
        </w:rPr>
      </w:pPr>
      <w:r>
        <w:rPr>
          <w:color w:val="auto"/>
        </w:rPr>
        <w:t xml:space="preserve">6.5.1 </w:t>
      </w:r>
      <w:r>
        <w:rPr>
          <w:rFonts w:hint="eastAsia" w:cs="宋体"/>
          <w:color w:val="auto"/>
        </w:rPr>
        <w:t>异常恶劣气候条件包括：</w:t>
      </w:r>
      <w:r>
        <w:rPr>
          <w:rFonts w:hint="eastAsia" w:cs="宋体"/>
          <w:color w:val="auto"/>
          <w:u w:val="single"/>
        </w:rPr>
        <w:t>项目所在地发生</w:t>
      </w:r>
      <w:r>
        <w:rPr>
          <w:color w:val="auto"/>
          <w:u w:val="single"/>
        </w:rPr>
        <w:t>100</w:t>
      </w:r>
      <w:r>
        <w:rPr>
          <w:rFonts w:hint="eastAsia" w:cs="宋体"/>
          <w:color w:val="auto"/>
          <w:u w:val="single"/>
        </w:rPr>
        <w:t>年以上一遇的罕见气候现象</w:t>
      </w:r>
      <w:r>
        <w:rPr>
          <w:color w:val="auto"/>
          <w:u w:val="single"/>
        </w:rPr>
        <w:t>(</w:t>
      </w:r>
      <w:r>
        <w:rPr>
          <w:rFonts w:hint="eastAsia" w:cs="宋体"/>
          <w:color w:val="auto"/>
          <w:u w:val="single"/>
        </w:rPr>
        <w:t>包括温度、降水、降雪、风等</w:t>
      </w:r>
      <w:r>
        <w:rPr>
          <w:color w:val="auto"/>
          <w:u w:val="single"/>
        </w:rPr>
        <w:t xml:space="preserve">) </w:t>
      </w:r>
      <w:r>
        <w:rPr>
          <w:rFonts w:hint="eastAsia" w:cs="宋体"/>
          <w:color w:val="auto"/>
          <w:u w:val="single"/>
        </w:rPr>
        <w:t>，以项目所在地气象主管部门观测及公布的数据为准；不利物质条件包括：不利物质条件指承包人在施工场地遇到的不可预见的自然物质条件、非自然的物质障碍和污染物，如化石、文物、矿产、流沙、沼气、棺木、已拆除但未清理的地下构筑物等</w:t>
      </w:r>
      <w:r>
        <w:rPr>
          <w:rFonts w:hint="eastAsia" w:cs="宋体"/>
          <w:color w:val="auto"/>
        </w:rPr>
        <w:t>。</w:t>
      </w:r>
    </w:p>
    <w:p>
      <w:pPr>
        <w:pStyle w:val="50"/>
        <w:spacing w:line="360" w:lineRule="auto"/>
        <w:ind w:firstLine="482" w:firstLineChars="200"/>
        <w:rPr>
          <w:rFonts w:cs="Times New Roman"/>
          <w:b/>
          <w:bCs/>
          <w:color w:val="auto"/>
        </w:rPr>
      </w:pPr>
      <w:r>
        <w:rPr>
          <w:b/>
          <w:bCs/>
          <w:color w:val="auto"/>
        </w:rPr>
        <w:t xml:space="preserve">6.7 </w:t>
      </w:r>
      <w:r>
        <w:rPr>
          <w:rFonts w:hint="eastAsia" w:cs="宋体"/>
          <w:b/>
          <w:bCs/>
          <w:color w:val="auto"/>
        </w:rPr>
        <w:t>提前完成勘察</w:t>
      </w:r>
    </w:p>
    <w:p>
      <w:pPr>
        <w:pStyle w:val="50"/>
        <w:spacing w:line="360" w:lineRule="auto"/>
        <w:ind w:firstLine="480" w:firstLineChars="200"/>
        <w:rPr>
          <w:rFonts w:cs="Times New Roman"/>
          <w:color w:val="auto"/>
        </w:rPr>
      </w:pPr>
      <w:r>
        <w:rPr>
          <w:color w:val="auto"/>
        </w:rPr>
        <w:t xml:space="preserve">6.7.3 </w:t>
      </w:r>
      <w:r>
        <w:rPr>
          <w:rFonts w:hint="eastAsia" w:cs="宋体"/>
          <w:color w:val="auto"/>
        </w:rPr>
        <w:t>由于勘察人提前完成勘察而给发包人带来经济效益的，发包人给予勘察人如下奖励：</w:t>
      </w:r>
      <w:r>
        <w:rPr>
          <w:color w:val="auto"/>
          <w:u w:val="single"/>
        </w:rPr>
        <w:t xml:space="preserve">   /   </w:t>
      </w:r>
      <w:r>
        <w:rPr>
          <w:rFonts w:hint="eastAsia" w:cs="宋体"/>
          <w:color w:val="auto"/>
        </w:rPr>
        <w:t>。</w:t>
      </w:r>
    </w:p>
    <w:p>
      <w:pPr>
        <w:pStyle w:val="50"/>
        <w:spacing w:line="360" w:lineRule="auto"/>
        <w:ind w:firstLine="482" w:firstLineChars="200"/>
        <w:rPr>
          <w:b/>
          <w:bCs/>
          <w:color w:val="auto"/>
        </w:rPr>
      </w:pPr>
      <w:r>
        <w:rPr>
          <w:b/>
          <w:bCs/>
          <w:color w:val="auto"/>
        </w:rPr>
        <w:t>8.</w:t>
      </w:r>
      <w:r>
        <w:rPr>
          <w:rFonts w:hint="eastAsia"/>
          <w:b/>
          <w:bCs/>
          <w:color w:val="auto"/>
        </w:rPr>
        <w:t>勘察文件</w:t>
      </w:r>
    </w:p>
    <w:p>
      <w:pPr>
        <w:pStyle w:val="60"/>
        <w:shd w:val="clear" w:color="auto" w:fill="auto"/>
        <w:spacing w:before="0" w:after="0" w:line="360" w:lineRule="auto"/>
        <w:ind w:left="520" w:right="5160" w:firstLine="0"/>
        <w:jc w:val="left"/>
        <w:rPr>
          <w:rStyle w:val="78"/>
          <w:rFonts w:ascii="宋体" w:hAnsi="宋体" w:eastAsia="宋体" w:cs="Times New Roman"/>
          <w:color w:val="auto"/>
          <w:sz w:val="24"/>
          <w:szCs w:val="24"/>
          <w:lang w:val="en-US"/>
        </w:rPr>
      </w:pPr>
      <w:r>
        <w:rPr>
          <w:rStyle w:val="78"/>
          <w:rFonts w:ascii="宋体" w:hAnsi="宋体" w:eastAsia="宋体" w:cs="宋体"/>
          <w:color w:val="auto"/>
          <w:sz w:val="24"/>
          <w:szCs w:val="24"/>
          <w:lang w:val="en-US"/>
        </w:rPr>
        <w:t>8.1</w:t>
      </w:r>
      <w:r>
        <w:rPr>
          <w:rStyle w:val="78"/>
          <w:rFonts w:hint="eastAsia" w:ascii="宋体" w:hAnsi="宋体" w:eastAsia="宋体" w:cs="宋体"/>
          <w:color w:val="auto"/>
          <w:sz w:val="24"/>
          <w:szCs w:val="24"/>
          <w:lang w:val="en-US"/>
        </w:rPr>
        <w:t>勘察</w:t>
      </w:r>
      <w:r>
        <w:rPr>
          <w:rStyle w:val="78"/>
          <w:rFonts w:hint="eastAsia" w:ascii="宋体" w:hAnsi="宋体" w:eastAsia="宋体" w:cs="宋体"/>
          <w:color w:val="auto"/>
          <w:sz w:val="24"/>
          <w:szCs w:val="24"/>
        </w:rPr>
        <w:t>文件接收</w:t>
      </w:r>
    </w:p>
    <w:p>
      <w:pPr>
        <w:pStyle w:val="60"/>
        <w:shd w:val="clear" w:color="auto" w:fill="auto"/>
        <w:spacing w:before="0" w:after="0" w:line="360" w:lineRule="auto"/>
        <w:ind w:left="520" w:right="5160" w:firstLine="0"/>
        <w:jc w:val="left"/>
        <w:rPr>
          <w:rFonts w:ascii="宋体" w:hAnsi="宋体" w:eastAsia="宋体" w:cs="Times New Roman"/>
          <w:color w:val="auto"/>
          <w:sz w:val="24"/>
          <w:szCs w:val="24"/>
        </w:rPr>
      </w:pPr>
      <w:r>
        <w:rPr>
          <w:rFonts w:ascii="宋体" w:hAnsi="宋体" w:eastAsia="宋体" w:cs="宋体"/>
          <w:color w:val="auto"/>
          <w:sz w:val="24"/>
          <w:szCs w:val="24"/>
        </w:rPr>
        <w:t>8.1.3</w:t>
      </w:r>
      <w:r>
        <w:rPr>
          <w:rFonts w:hint="eastAsia" w:ascii="宋体" w:hAnsi="宋体" w:eastAsia="宋体" w:cs="宋体"/>
          <w:color w:val="auto"/>
          <w:sz w:val="24"/>
          <w:szCs w:val="24"/>
        </w:rPr>
        <w:t>勘察文件提交要求：</w:t>
      </w:r>
    </w:p>
    <w:p>
      <w:pPr>
        <w:pStyle w:val="60"/>
        <w:shd w:val="clear" w:color="auto" w:fill="auto"/>
        <w:spacing w:before="0" w:after="0" w:line="360" w:lineRule="auto"/>
        <w:ind w:firstLine="520"/>
        <w:jc w:val="left"/>
        <w:rPr>
          <w:rFonts w:ascii="宋体" w:hAnsi="宋体" w:eastAsia="宋体" w:cs="Times New Roman"/>
          <w:color w:val="auto"/>
          <w:sz w:val="24"/>
          <w:szCs w:val="24"/>
        </w:rPr>
      </w:pPr>
      <w:r>
        <w:rPr>
          <w:rFonts w:hint="eastAsia" w:ascii="宋体" w:hAnsi="宋体" w:eastAsia="宋体" w:cs="宋体"/>
          <w:color w:val="auto"/>
          <w:sz w:val="24"/>
          <w:szCs w:val="24"/>
        </w:rPr>
        <w:t>（</w:t>
      </w:r>
      <w:r>
        <w:rPr>
          <w:rFonts w:ascii="宋体" w:hAnsi="宋体" w:eastAsia="宋体" w:cs="宋体"/>
          <w:color w:val="auto"/>
          <w:sz w:val="24"/>
          <w:szCs w:val="24"/>
        </w:rPr>
        <w:t>1</w:t>
      </w:r>
      <w:r>
        <w:rPr>
          <w:rFonts w:hint="eastAsia" w:ascii="宋体" w:hAnsi="宋体" w:eastAsia="宋体" w:cs="宋体"/>
          <w:color w:val="auto"/>
          <w:sz w:val="24"/>
          <w:szCs w:val="24"/>
        </w:rPr>
        <w:t>）合同签订后</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天内，通过初勘提交初勘报告送审稿等相关资料；</w:t>
      </w:r>
    </w:p>
    <w:p>
      <w:pPr>
        <w:pStyle w:val="60"/>
        <w:shd w:val="clear" w:color="auto" w:fill="auto"/>
        <w:spacing w:before="0" w:after="0" w:line="360" w:lineRule="auto"/>
        <w:ind w:firstLine="520"/>
        <w:jc w:val="left"/>
        <w:rPr>
          <w:rFonts w:ascii="宋体" w:hAnsi="宋体" w:eastAsia="宋体" w:cs="宋体"/>
          <w:color w:val="auto"/>
          <w:sz w:val="24"/>
          <w:szCs w:val="24"/>
        </w:rPr>
      </w:pPr>
      <w:r>
        <w:rPr>
          <w:rFonts w:hint="eastAsia" w:ascii="宋体" w:hAnsi="宋体" w:eastAsia="宋体" w:cs="宋体"/>
          <w:color w:val="auto"/>
          <w:sz w:val="24"/>
          <w:szCs w:val="24"/>
        </w:rPr>
        <w:t>（</w:t>
      </w:r>
      <w:r>
        <w:rPr>
          <w:rFonts w:ascii="宋体" w:hAnsi="宋体" w:eastAsia="宋体" w:cs="宋体"/>
          <w:color w:val="auto"/>
          <w:sz w:val="24"/>
          <w:szCs w:val="24"/>
        </w:rPr>
        <w:t>2</w:t>
      </w:r>
      <w:r>
        <w:rPr>
          <w:rFonts w:hint="eastAsia" w:ascii="宋体" w:hAnsi="宋体" w:eastAsia="宋体" w:cs="宋体"/>
          <w:color w:val="auto"/>
          <w:sz w:val="24"/>
          <w:szCs w:val="24"/>
        </w:rPr>
        <w:t>）初步设计文件批复后</w:t>
      </w:r>
      <w:r>
        <w:rPr>
          <w:rFonts w:hint="eastAsia" w:ascii="宋体" w:hAnsi="宋体" w:eastAsia="宋体" w:cs="宋体"/>
          <w:color w:val="auto"/>
          <w:sz w:val="24"/>
          <w:szCs w:val="24"/>
          <w:lang w:val="en-US" w:eastAsia="zh-CN"/>
        </w:rPr>
        <w:t>60</w:t>
      </w:r>
      <w:r>
        <w:rPr>
          <w:rFonts w:hint="eastAsia" w:ascii="宋体" w:hAnsi="宋体" w:eastAsia="宋体" w:cs="宋体"/>
          <w:color w:val="auto"/>
          <w:sz w:val="24"/>
          <w:szCs w:val="24"/>
        </w:rPr>
        <w:t>天内，通过详勘提交详勘报告送审稿；</w:t>
      </w:r>
    </w:p>
    <w:p>
      <w:pPr>
        <w:pStyle w:val="60"/>
        <w:shd w:val="clear" w:color="auto" w:fill="auto"/>
        <w:spacing w:before="0" w:after="0" w:line="360" w:lineRule="auto"/>
        <w:ind w:firstLine="520"/>
        <w:jc w:val="left"/>
        <w:rPr>
          <w:rFonts w:ascii="宋体" w:hAnsi="宋体" w:eastAsia="宋体" w:cs="Times New Roman"/>
          <w:color w:val="auto"/>
          <w:sz w:val="24"/>
          <w:szCs w:val="24"/>
        </w:rPr>
      </w:pPr>
      <w:r>
        <w:rPr>
          <w:rFonts w:hint="eastAsia" w:ascii="宋体" w:hAnsi="宋体" w:eastAsia="宋体" w:cs="宋体"/>
          <w:color w:val="auto"/>
          <w:sz w:val="24"/>
          <w:szCs w:val="24"/>
        </w:rPr>
        <w:t>（3）根据咨询单位、发包人和上级主管部门审查意见，对勘察报告及专题研究报告进行修改完善，提交勘察报告和专题研究报告最终稿。勘察人还应向发包人提交勘察文件的电子版一份。</w:t>
      </w:r>
    </w:p>
    <w:p>
      <w:pPr>
        <w:pStyle w:val="60"/>
        <w:shd w:val="clear" w:color="auto" w:fill="auto"/>
        <w:spacing w:before="0" w:after="0" w:line="360" w:lineRule="auto"/>
        <w:ind w:firstLine="520"/>
        <w:jc w:val="left"/>
        <w:rPr>
          <w:rFonts w:ascii="宋体" w:hAnsi="宋体" w:eastAsia="宋体" w:cs="Times New Roman"/>
          <w:color w:val="auto"/>
          <w:sz w:val="24"/>
          <w:szCs w:val="24"/>
        </w:rPr>
      </w:pPr>
      <w:r>
        <w:rPr>
          <w:rFonts w:hint="eastAsia" w:ascii="宋体" w:hAnsi="宋体" w:eastAsia="宋体" w:cs="宋体"/>
          <w:color w:val="auto"/>
          <w:sz w:val="24"/>
          <w:szCs w:val="24"/>
        </w:rPr>
        <w:t>份数、内容、纸幅、装订格式、电子文件、展板、模型、沙盘、动画等要求，在专用合同条款中约定。</w:t>
      </w:r>
    </w:p>
    <w:p>
      <w:pPr>
        <w:pStyle w:val="64"/>
        <w:keepNext/>
        <w:keepLines/>
        <w:shd w:val="clear" w:color="auto" w:fill="auto"/>
        <w:spacing w:line="360" w:lineRule="auto"/>
        <w:ind w:left="520"/>
        <w:rPr>
          <w:rFonts w:ascii="宋体" w:hAnsi="宋体" w:eastAsia="宋体" w:cs="Times New Roman"/>
          <w:color w:val="auto"/>
          <w:sz w:val="24"/>
          <w:szCs w:val="24"/>
        </w:rPr>
      </w:pPr>
      <w:bookmarkStart w:id="66" w:name="bookmark167"/>
      <w:r>
        <w:rPr>
          <w:rFonts w:ascii="宋体" w:hAnsi="宋体" w:eastAsia="宋体" w:cs="宋体"/>
          <w:color w:val="auto"/>
          <w:sz w:val="24"/>
          <w:szCs w:val="24"/>
        </w:rPr>
        <w:t>8.2</w:t>
      </w:r>
      <w:r>
        <w:rPr>
          <w:rFonts w:hint="eastAsia" w:ascii="宋体" w:hAnsi="宋体" w:eastAsia="宋体" w:cs="宋体"/>
          <w:color w:val="auto"/>
          <w:sz w:val="24"/>
          <w:szCs w:val="24"/>
        </w:rPr>
        <w:t>发包人审查勘察文件</w:t>
      </w:r>
      <w:bookmarkEnd w:id="66"/>
    </w:p>
    <w:p>
      <w:pPr>
        <w:pStyle w:val="50"/>
        <w:spacing w:line="360" w:lineRule="auto"/>
        <w:rPr>
          <w:rFonts w:ascii="宋体" w:hAnsi="宋体" w:cs="宋体"/>
          <w:color w:val="auto"/>
        </w:rPr>
      </w:pPr>
      <w:r>
        <w:rPr>
          <w:rFonts w:ascii="宋体" w:hAnsi="宋体" w:cs="宋体"/>
          <w:color w:val="auto"/>
        </w:rPr>
        <w:t>8.2.1</w:t>
      </w:r>
      <w:r>
        <w:rPr>
          <w:rFonts w:hint="eastAsia" w:ascii="宋体" w:hAnsi="宋体" w:cs="宋体"/>
          <w:color w:val="auto"/>
        </w:rPr>
        <w:t>发包人审查勘察文件的具体范围勘察</w:t>
      </w:r>
      <w:r>
        <w:rPr>
          <w:rFonts w:hint="eastAsia" w:ascii="宋体" w:hAnsi="宋体" w:cs="宋体"/>
          <w:color w:val="auto"/>
          <w:u w:val="single"/>
        </w:rPr>
        <w:t>文件；</w:t>
      </w:r>
      <w:r>
        <w:rPr>
          <w:rFonts w:hint="eastAsia" w:ascii="宋体" w:hAnsi="宋体" w:cs="宋体"/>
          <w:color w:val="auto"/>
        </w:rPr>
        <w:t>明细内容</w:t>
      </w:r>
      <w:r>
        <w:rPr>
          <w:rFonts w:ascii="宋体" w:hAnsi="宋体" w:cs="宋体"/>
          <w:color w:val="auto"/>
        </w:rPr>
        <w:t>:</w:t>
      </w:r>
      <w:r>
        <w:rPr>
          <w:rFonts w:hint="eastAsia" w:ascii="宋体" w:hAnsi="宋体" w:cs="宋体"/>
          <w:color w:val="auto"/>
          <w:u w:val="single"/>
        </w:rPr>
        <w:t>全部勘察报告和资料等。</w:t>
      </w:r>
      <w:r>
        <w:rPr>
          <w:rFonts w:hint="eastAsia" w:ascii="宋体" w:hAnsi="宋体" w:cs="宋体"/>
          <w:color w:val="auto"/>
        </w:rPr>
        <w:t>费用分担原则：</w:t>
      </w:r>
      <w:r>
        <w:rPr>
          <w:rFonts w:hint="eastAsia" w:ascii="宋体" w:hAnsi="宋体" w:cs="宋体"/>
          <w:color w:val="auto"/>
          <w:u w:val="single"/>
        </w:rPr>
        <w:t>发包人承租</w:t>
      </w:r>
      <w:r>
        <w:rPr>
          <w:rFonts w:hint="eastAsia" w:ascii="宋体" w:hAnsi="宋体" w:cs="宋体"/>
          <w:color w:val="auto"/>
        </w:rPr>
        <w:t>。</w:t>
      </w:r>
    </w:p>
    <w:p>
      <w:pPr>
        <w:pStyle w:val="50"/>
        <w:spacing w:line="360" w:lineRule="auto"/>
        <w:rPr>
          <w:rFonts w:cs="Times New Roman"/>
          <w:b/>
          <w:bCs/>
          <w:color w:val="auto"/>
        </w:rPr>
      </w:pPr>
      <w:r>
        <w:rPr>
          <w:b/>
          <w:bCs/>
          <w:color w:val="auto"/>
        </w:rPr>
        <w:t xml:space="preserve">11. </w:t>
      </w:r>
      <w:r>
        <w:rPr>
          <w:rFonts w:hint="eastAsia" w:cs="宋体"/>
          <w:b/>
          <w:bCs/>
          <w:color w:val="auto"/>
        </w:rPr>
        <w:t>合同变更</w:t>
      </w:r>
    </w:p>
    <w:p>
      <w:pPr>
        <w:pStyle w:val="50"/>
        <w:spacing w:line="360" w:lineRule="auto"/>
        <w:ind w:firstLine="482" w:firstLineChars="200"/>
        <w:rPr>
          <w:rFonts w:cs="Times New Roman"/>
          <w:b/>
          <w:bCs/>
          <w:color w:val="auto"/>
        </w:rPr>
      </w:pPr>
      <w:r>
        <w:rPr>
          <w:b/>
          <w:bCs/>
          <w:color w:val="auto"/>
        </w:rPr>
        <w:t xml:space="preserve">11.1 </w:t>
      </w:r>
      <w:r>
        <w:rPr>
          <w:rFonts w:hint="eastAsia" w:cs="宋体"/>
          <w:b/>
          <w:bCs/>
          <w:color w:val="auto"/>
        </w:rPr>
        <w:t>变更情形</w:t>
      </w:r>
    </w:p>
    <w:p>
      <w:pPr>
        <w:pStyle w:val="50"/>
        <w:spacing w:line="360" w:lineRule="auto"/>
        <w:ind w:firstLine="480" w:firstLineChars="200"/>
        <w:rPr>
          <w:rFonts w:cs="Times New Roman"/>
          <w:color w:val="auto"/>
        </w:rPr>
      </w:pPr>
      <w:r>
        <w:rPr>
          <w:color w:val="auto"/>
        </w:rPr>
        <w:t xml:space="preserve">11.1.1 </w:t>
      </w:r>
      <w:r>
        <w:rPr>
          <w:rFonts w:hint="eastAsia" w:cs="宋体"/>
          <w:color w:val="auto"/>
        </w:rPr>
        <w:t>合同变更时，勘察服务期限的调整方法：</w:t>
      </w:r>
      <w:r>
        <w:rPr>
          <w:rFonts w:hint="eastAsia" w:cs="宋体"/>
          <w:color w:val="auto"/>
          <w:u w:val="single"/>
        </w:rPr>
        <w:t>不调整</w:t>
      </w:r>
      <w:r>
        <w:rPr>
          <w:rFonts w:hint="eastAsia" w:cs="宋体"/>
          <w:color w:val="auto"/>
        </w:rPr>
        <w:t>；勘察费用的调整方法：</w:t>
      </w:r>
      <w:r>
        <w:rPr>
          <w:rFonts w:hint="eastAsia" w:cs="宋体"/>
          <w:color w:val="auto"/>
          <w:u w:val="single"/>
        </w:rPr>
        <w:t>不调整</w:t>
      </w:r>
      <w:r>
        <w:rPr>
          <w:rFonts w:hint="eastAsia" w:cs="宋体"/>
          <w:color w:val="auto"/>
        </w:rPr>
        <w:t>。</w:t>
      </w:r>
    </w:p>
    <w:p>
      <w:pPr>
        <w:pStyle w:val="50"/>
        <w:spacing w:line="360" w:lineRule="auto"/>
        <w:ind w:firstLine="482" w:firstLineChars="200"/>
        <w:rPr>
          <w:rFonts w:cs="Times New Roman"/>
          <w:b/>
          <w:bCs/>
          <w:color w:val="auto"/>
        </w:rPr>
      </w:pPr>
      <w:r>
        <w:rPr>
          <w:b/>
          <w:bCs/>
          <w:color w:val="auto"/>
        </w:rPr>
        <w:t xml:space="preserve">11.2 </w:t>
      </w:r>
      <w:r>
        <w:rPr>
          <w:rFonts w:hint="eastAsia" w:cs="宋体"/>
          <w:b/>
          <w:bCs/>
          <w:color w:val="auto"/>
        </w:rPr>
        <w:t>合理化建议</w:t>
      </w:r>
    </w:p>
    <w:p>
      <w:pPr>
        <w:pStyle w:val="50"/>
        <w:spacing w:line="360" w:lineRule="auto"/>
        <w:ind w:firstLine="480" w:firstLineChars="200"/>
        <w:rPr>
          <w:rFonts w:cs="Times New Roman"/>
          <w:color w:val="auto"/>
        </w:rPr>
      </w:pPr>
      <w:r>
        <w:rPr>
          <w:color w:val="auto"/>
        </w:rPr>
        <w:t xml:space="preserve">11.2.2 </w:t>
      </w:r>
      <w:r>
        <w:rPr>
          <w:rFonts w:hint="eastAsia"/>
          <w:color w:val="auto"/>
        </w:rPr>
        <w:t>勘察</w:t>
      </w:r>
      <w:r>
        <w:rPr>
          <w:rFonts w:hint="eastAsia" w:cs="宋体"/>
          <w:color w:val="auto"/>
        </w:rPr>
        <w:t>人提出的合理化建议降低了工程投资、缩短了施工期限或者提高了工程经济效益的，发包人给予勘察人如下奖励：</w:t>
      </w:r>
      <w:r>
        <w:rPr>
          <w:color w:val="auto"/>
          <w:u w:val="single"/>
        </w:rPr>
        <w:t xml:space="preserve">  /   </w:t>
      </w:r>
      <w:r>
        <w:rPr>
          <w:rFonts w:hint="eastAsia" w:cs="宋体"/>
          <w:color w:val="auto"/>
        </w:rPr>
        <w:t>。</w:t>
      </w:r>
    </w:p>
    <w:p>
      <w:pPr>
        <w:pStyle w:val="50"/>
        <w:spacing w:line="360" w:lineRule="auto"/>
        <w:rPr>
          <w:rFonts w:cs="Times New Roman"/>
          <w:b/>
          <w:bCs/>
          <w:color w:val="auto"/>
        </w:rPr>
      </w:pPr>
      <w:r>
        <w:rPr>
          <w:b/>
          <w:bCs/>
          <w:color w:val="auto"/>
        </w:rPr>
        <w:t xml:space="preserve">12. </w:t>
      </w:r>
      <w:r>
        <w:rPr>
          <w:rFonts w:hint="eastAsia" w:cs="宋体"/>
          <w:b/>
          <w:bCs/>
          <w:color w:val="auto"/>
        </w:rPr>
        <w:t>合同价格与支付</w:t>
      </w:r>
    </w:p>
    <w:p>
      <w:pPr>
        <w:pStyle w:val="50"/>
        <w:spacing w:line="360" w:lineRule="auto"/>
        <w:ind w:firstLine="482" w:firstLineChars="200"/>
        <w:rPr>
          <w:rFonts w:cs="Times New Roman"/>
          <w:color w:val="auto"/>
        </w:rPr>
      </w:pPr>
      <w:r>
        <w:rPr>
          <w:b/>
          <w:bCs/>
          <w:color w:val="auto"/>
        </w:rPr>
        <w:t xml:space="preserve">12.1 </w:t>
      </w:r>
      <w:r>
        <w:rPr>
          <w:rFonts w:hint="eastAsia" w:cs="宋体"/>
          <w:b/>
          <w:bCs/>
          <w:color w:val="auto"/>
        </w:rPr>
        <w:t>合同价格</w:t>
      </w:r>
    </w:p>
    <w:p>
      <w:pPr>
        <w:pStyle w:val="50"/>
        <w:spacing w:line="360" w:lineRule="auto"/>
        <w:ind w:firstLine="480" w:firstLineChars="200"/>
        <w:rPr>
          <w:rFonts w:cs="Times New Roman"/>
          <w:color w:val="auto"/>
        </w:rPr>
      </w:pPr>
      <w:r>
        <w:rPr>
          <w:color w:val="auto"/>
        </w:rPr>
        <w:t xml:space="preserve">12.1.1 </w:t>
      </w:r>
      <w:r>
        <w:rPr>
          <w:rFonts w:hint="eastAsia" w:cs="宋体"/>
          <w:color w:val="auto"/>
        </w:rPr>
        <w:t>本合同的价款确定方式：</w:t>
      </w:r>
      <w:r>
        <w:rPr>
          <w:rFonts w:hint="eastAsia" w:cs="宋体"/>
          <w:color w:val="auto"/>
          <w:u w:val="single"/>
        </w:rPr>
        <w:t>总价合同，最终勘察合同价格以初步设计批复中的建安费为基数乘以投标阶段所填报的费率</w:t>
      </w:r>
      <w:r>
        <w:rPr>
          <w:rFonts w:hint="eastAsia" w:cs="宋体"/>
          <w:color w:val="auto"/>
        </w:rPr>
        <w:t>。</w:t>
      </w:r>
    </w:p>
    <w:p>
      <w:pPr>
        <w:pStyle w:val="50"/>
        <w:spacing w:line="360" w:lineRule="auto"/>
        <w:ind w:firstLine="480" w:firstLineChars="200"/>
        <w:rPr>
          <w:rFonts w:cs="Times New Roman"/>
          <w:color w:val="auto"/>
        </w:rPr>
      </w:pPr>
      <w:r>
        <w:rPr>
          <w:rFonts w:hint="eastAsia" w:cs="宋体"/>
          <w:color w:val="auto"/>
        </w:rPr>
        <w:t>在合同实施期间，由于人工、材料、设备等因素的市场价格变化导致本项目勘察费用变化，合同价格的调整方式和风险范围划分</w:t>
      </w:r>
      <w:r>
        <w:rPr>
          <w:color w:val="auto"/>
        </w:rPr>
        <w:t>:</w:t>
      </w:r>
      <w:r>
        <w:rPr>
          <w:rFonts w:hint="eastAsia" w:cs="宋体"/>
          <w:color w:val="auto"/>
          <w:u w:val="single"/>
        </w:rPr>
        <w:t>在合同实施期间，本项目勘察费用不随国家政策调整或法规、标准及市场因素变化进行调整。如设计出现较大变动时，经双方同意，根据实际情况签订补充合同</w:t>
      </w:r>
      <w:r>
        <w:rPr>
          <w:rFonts w:hint="eastAsia" w:cs="宋体"/>
          <w:color w:val="auto"/>
        </w:rPr>
        <w:t>。</w:t>
      </w:r>
    </w:p>
    <w:p>
      <w:pPr>
        <w:pStyle w:val="60"/>
        <w:shd w:val="clear" w:color="auto" w:fill="auto"/>
        <w:spacing w:before="0" w:after="0" w:line="360" w:lineRule="auto"/>
        <w:ind w:left="520" w:firstLine="0"/>
        <w:jc w:val="left"/>
        <w:rPr>
          <w:rFonts w:ascii="宋体" w:hAnsi="宋体" w:eastAsia="宋体" w:cs="Times New Roman"/>
          <w:color w:val="auto"/>
          <w:sz w:val="24"/>
          <w:szCs w:val="24"/>
        </w:rPr>
      </w:pPr>
      <w:r>
        <w:rPr>
          <w:rFonts w:hint="eastAsia" w:ascii="宋体" w:hAnsi="宋体" w:eastAsia="宋体" w:cs="宋体"/>
          <w:color w:val="auto"/>
          <w:sz w:val="24"/>
          <w:szCs w:val="24"/>
        </w:rPr>
        <w:t>合同计价模式为总价合同的，勘察费用支付阶段如下：</w:t>
      </w:r>
    </w:p>
    <w:p>
      <w:pPr>
        <w:pStyle w:val="69"/>
        <w:numPr>
          <w:ilvl w:val="0"/>
          <w:numId w:val="18"/>
        </w:numPr>
        <w:shd w:val="clear" w:color="auto" w:fill="auto"/>
        <w:spacing w:before="0" w:line="360" w:lineRule="auto"/>
        <w:ind w:left="540"/>
        <w:jc w:val="both"/>
        <w:rPr>
          <w:rFonts w:ascii="宋体" w:hAnsi="宋体" w:eastAsia="宋体" w:cs="宋体"/>
          <w:b w:val="0"/>
          <w:bCs w:val="0"/>
          <w:color w:val="auto"/>
          <w:spacing w:val="0"/>
          <w:sz w:val="24"/>
          <w:szCs w:val="24"/>
        </w:rPr>
      </w:pPr>
      <w:r>
        <w:rPr>
          <w:rFonts w:hint="eastAsia" w:ascii="宋体" w:hAnsi="宋体" w:eastAsia="宋体" w:cs="宋体"/>
          <w:b w:val="0"/>
          <w:bCs w:val="0"/>
          <w:color w:val="auto"/>
          <w:spacing w:val="0"/>
          <w:sz w:val="24"/>
          <w:szCs w:val="24"/>
        </w:rPr>
        <w:t>合同签署后28天内，发包人向投标人支付勘察费用的10％作为定金（本合同履行后，定金抵作勘察费，不再扣回）；</w:t>
      </w:r>
    </w:p>
    <w:p>
      <w:pPr>
        <w:autoSpaceDE w:val="0"/>
        <w:autoSpaceDN w:val="0"/>
        <w:snapToGrid w:val="0"/>
        <w:spacing w:line="360" w:lineRule="auto"/>
        <w:ind w:firstLine="480" w:firstLineChars="200"/>
        <w:jc w:val="left"/>
        <w:rPr>
          <w:rFonts w:cs="宋体"/>
          <w:color w:val="auto"/>
          <w:sz w:val="24"/>
          <w:szCs w:val="24"/>
        </w:rPr>
      </w:pPr>
      <w:r>
        <w:rPr>
          <w:rFonts w:hint="eastAsia" w:ascii="宋体" w:hAnsi="宋体" w:cs="宋体"/>
          <w:color w:val="auto"/>
          <w:sz w:val="24"/>
          <w:szCs w:val="24"/>
        </w:rPr>
        <w:t>详勘报告送审稿按期完成后并送至发包人处，经发包人或上级主管部门审查、修改批准后，向勘察人支付勘察费用至90％。</w:t>
      </w:r>
    </w:p>
    <w:p>
      <w:pPr>
        <w:pStyle w:val="50"/>
        <w:spacing w:line="360" w:lineRule="auto"/>
        <w:ind w:firstLine="482" w:firstLineChars="200"/>
        <w:rPr>
          <w:rFonts w:cs="Times New Roman"/>
          <w:b/>
          <w:bCs/>
          <w:color w:val="auto"/>
        </w:rPr>
      </w:pPr>
      <w:r>
        <w:rPr>
          <w:b/>
          <w:bCs/>
          <w:color w:val="auto"/>
        </w:rPr>
        <w:t xml:space="preserve">12.2 </w:t>
      </w:r>
      <w:r>
        <w:rPr>
          <w:rFonts w:hint="eastAsia" w:cs="宋体"/>
          <w:b/>
          <w:bCs/>
          <w:color w:val="auto"/>
        </w:rPr>
        <w:t>预付款</w:t>
      </w:r>
    </w:p>
    <w:p>
      <w:pPr>
        <w:pStyle w:val="50"/>
        <w:spacing w:line="360" w:lineRule="auto"/>
        <w:ind w:firstLine="480" w:firstLineChars="200"/>
        <w:rPr>
          <w:color w:val="auto"/>
        </w:rPr>
      </w:pPr>
      <w:r>
        <w:rPr>
          <w:color w:val="auto"/>
        </w:rPr>
        <w:t xml:space="preserve">12.2.1 </w:t>
      </w:r>
      <w:r>
        <w:rPr>
          <w:rFonts w:hint="eastAsia" w:cs="宋体"/>
          <w:color w:val="auto"/>
        </w:rPr>
        <w:t>预付款的额度、支付方式及抵扣方式</w:t>
      </w:r>
      <w:r>
        <w:rPr>
          <w:color w:val="auto"/>
        </w:rPr>
        <w:t xml:space="preserve">: </w:t>
      </w:r>
      <w:r>
        <w:rPr>
          <w:rFonts w:hint="eastAsia" w:cs="宋体"/>
          <w:color w:val="auto"/>
          <w:u w:val="single"/>
        </w:rPr>
        <w:t xml:space="preserve">/ </w:t>
      </w:r>
      <w:r>
        <w:rPr>
          <w:rFonts w:hint="eastAsia" w:cs="宋体"/>
          <w:color w:val="auto"/>
        </w:rPr>
        <w:t>。</w:t>
      </w:r>
    </w:p>
    <w:p>
      <w:pPr>
        <w:pStyle w:val="50"/>
        <w:spacing w:line="360" w:lineRule="auto"/>
        <w:ind w:firstLine="482" w:firstLineChars="200"/>
        <w:rPr>
          <w:rFonts w:cs="Times New Roman"/>
          <w:b/>
          <w:bCs/>
          <w:color w:val="auto"/>
        </w:rPr>
      </w:pPr>
      <w:r>
        <w:rPr>
          <w:b/>
          <w:bCs/>
          <w:color w:val="auto"/>
        </w:rPr>
        <w:t xml:space="preserve">12.3 </w:t>
      </w:r>
      <w:r>
        <w:rPr>
          <w:rFonts w:hint="eastAsia" w:cs="宋体"/>
          <w:b/>
          <w:bCs/>
          <w:color w:val="auto"/>
        </w:rPr>
        <w:t>中期支付</w:t>
      </w:r>
    </w:p>
    <w:p>
      <w:pPr>
        <w:pStyle w:val="50"/>
        <w:spacing w:line="360" w:lineRule="auto"/>
        <w:ind w:firstLine="480" w:firstLineChars="200"/>
        <w:rPr>
          <w:rFonts w:cs="Times New Roman"/>
          <w:color w:val="auto"/>
        </w:rPr>
      </w:pPr>
      <w:r>
        <w:rPr>
          <w:color w:val="auto"/>
        </w:rPr>
        <w:t xml:space="preserve">12.3.1 </w:t>
      </w:r>
      <w:r>
        <w:rPr>
          <w:rFonts w:hint="eastAsia" w:cs="宋体"/>
          <w:color w:val="auto"/>
        </w:rPr>
        <w:t>中期支付申请的格式及份数：</w:t>
      </w:r>
      <w:r>
        <w:rPr>
          <w:rFonts w:hint="eastAsia" w:cs="宋体"/>
          <w:color w:val="auto"/>
          <w:u w:val="single"/>
        </w:rPr>
        <w:t>满足发包人相关管理规定</w:t>
      </w:r>
      <w:r>
        <w:rPr>
          <w:rFonts w:hint="eastAsia" w:cs="宋体"/>
          <w:color w:val="auto"/>
        </w:rPr>
        <w:t>。</w:t>
      </w:r>
    </w:p>
    <w:p>
      <w:pPr>
        <w:pStyle w:val="16"/>
        <w:tabs>
          <w:tab w:val="left" w:leader="underscore" w:pos="8425"/>
        </w:tabs>
        <w:spacing w:line="360" w:lineRule="auto"/>
        <w:ind w:firstLine="540"/>
        <w:rPr>
          <w:rFonts w:ascii="宋体" w:hAnsi="宋体" w:cs="Times New Roman"/>
          <w:color w:val="auto"/>
          <w:sz w:val="24"/>
          <w:szCs w:val="24"/>
        </w:rPr>
      </w:pPr>
      <w:r>
        <w:rPr>
          <w:color w:val="auto"/>
        </w:rPr>
        <w:t>12.3.2</w:t>
      </w:r>
      <w:r>
        <w:rPr>
          <w:rFonts w:hint="eastAsia" w:ascii="宋体" w:hAnsi="宋体" w:cs="宋体"/>
          <w:color w:val="auto"/>
          <w:sz w:val="24"/>
          <w:szCs w:val="24"/>
        </w:rPr>
        <w:t>逾期付款违约金：每延期支付</w:t>
      </w:r>
      <w:r>
        <w:rPr>
          <w:rFonts w:ascii="宋体" w:hAnsi="宋体" w:cs="宋体"/>
          <w:color w:val="auto"/>
          <w:sz w:val="24"/>
          <w:szCs w:val="24"/>
        </w:rPr>
        <w:t>1</w:t>
      </w:r>
      <w:r>
        <w:rPr>
          <w:rFonts w:hint="eastAsia" w:ascii="宋体" w:hAnsi="宋体" w:cs="宋体"/>
          <w:color w:val="auto"/>
          <w:sz w:val="24"/>
          <w:szCs w:val="24"/>
        </w:rPr>
        <w:t>天，发包人应付给勘察人拖欠金额的按中国人民银行发布的同期六个月（含六个月）以内短期贷款基准利率加手续费计算）</w:t>
      </w:r>
      <w:r>
        <w:rPr>
          <w:rFonts w:ascii="宋体" w:hAnsi="宋体" w:cs="宋体"/>
          <w:color w:val="auto"/>
          <w:sz w:val="24"/>
          <w:szCs w:val="24"/>
        </w:rPr>
        <w:t>/</w:t>
      </w:r>
      <w:r>
        <w:rPr>
          <w:rFonts w:hint="eastAsia" w:ascii="宋体" w:hAnsi="宋体" w:cs="宋体"/>
          <w:color w:val="auto"/>
          <w:sz w:val="24"/>
          <w:szCs w:val="24"/>
        </w:rPr>
        <w:t>‰的违约金。</w:t>
      </w:r>
    </w:p>
    <w:p>
      <w:pPr>
        <w:pStyle w:val="16"/>
        <w:tabs>
          <w:tab w:val="left" w:leader="underscore" w:pos="8425"/>
        </w:tabs>
        <w:spacing w:line="360" w:lineRule="auto"/>
        <w:ind w:firstLine="540"/>
        <w:rPr>
          <w:rFonts w:ascii="宋体" w:hAnsi="宋体" w:cs="Times New Roman"/>
          <w:color w:val="auto"/>
          <w:sz w:val="24"/>
          <w:szCs w:val="24"/>
        </w:rPr>
      </w:pPr>
      <w:r>
        <w:rPr>
          <w:rFonts w:ascii="宋体" w:hAnsi="宋体" w:cs="宋体"/>
          <w:color w:val="auto"/>
          <w:sz w:val="24"/>
          <w:szCs w:val="24"/>
        </w:rPr>
        <w:t>12.3.3</w:t>
      </w:r>
      <w:r>
        <w:rPr>
          <w:rFonts w:hint="eastAsia" w:ascii="宋体" w:hAnsi="宋体" w:cs="宋体"/>
          <w:color w:val="auto"/>
          <w:sz w:val="24"/>
          <w:szCs w:val="24"/>
        </w:rPr>
        <w:t>中期支付涉及政府投资资金的，支付规定如下</w:t>
      </w:r>
      <w:r>
        <w:rPr>
          <w:rFonts w:ascii="宋体" w:hAnsi="宋体" w:cs="宋体"/>
          <w:color w:val="auto"/>
          <w:sz w:val="24"/>
          <w:szCs w:val="24"/>
        </w:rPr>
        <w:t xml:space="preserve">: </w:t>
      </w:r>
      <w:r>
        <w:rPr>
          <w:rFonts w:hint="eastAsia" w:ascii="宋体" w:hAnsi="宋体" w:cs="宋体"/>
          <w:color w:val="auto"/>
          <w:sz w:val="24"/>
          <w:szCs w:val="24"/>
        </w:rPr>
        <w:t>满足发包人及政府相关管理规定。</w:t>
      </w:r>
    </w:p>
    <w:p>
      <w:pPr>
        <w:pStyle w:val="16"/>
        <w:tabs>
          <w:tab w:val="left" w:leader="underscore" w:pos="8425"/>
        </w:tabs>
        <w:spacing w:line="360" w:lineRule="auto"/>
        <w:ind w:firstLine="540"/>
        <w:rPr>
          <w:rFonts w:ascii="宋体" w:hAnsi="宋体" w:cs="Times New Roman"/>
          <w:color w:val="auto"/>
          <w:sz w:val="24"/>
          <w:szCs w:val="24"/>
        </w:rPr>
      </w:pPr>
      <w:r>
        <w:rPr>
          <w:rFonts w:ascii="宋体" w:hAnsi="宋体" w:cs="宋体"/>
          <w:color w:val="auto"/>
          <w:sz w:val="24"/>
          <w:szCs w:val="24"/>
        </w:rPr>
        <w:t>12.4</w:t>
      </w:r>
      <w:r>
        <w:rPr>
          <w:rFonts w:hint="eastAsia" w:ascii="宋体" w:hAnsi="宋体" w:cs="宋体"/>
          <w:color w:val="auto"/>
          <w:sz w:val="24"/>
          <w:szCs w:val="24"/>
        </w:rPr>
        <w:t>费用结算</w:t>
      </w:r>
    </w:p>
    <w:p>
      <w:pPr>
        <w:pStyle w:val="16"/>
        <w:tabs>
          <w:tab w:val="left" w:leader="underscore" w:pos="8425"/>
        </w:tabs>
        <w:spacing w:line="360" w:lineRule="auto"/>
        <w:ind w:firstLine="540"/>
        <w:rPr>
          <w:rFonts w:ascii="宋体" w:hAnsi="宋体" w:cs="Times New Roman"/>
          <w:color w:val="auto"/>
          <w:sz w:val="24"/>
          <w:szCs w:val="24"/>
        </w:rPr>
      </w:pPr>
      <w:r>
        <w:rPr>
          <w:rFonts w:ascii="宋体" w:hAnsi="宋体" w:cs="宋体"/>
          <w:color w:val="auto"/>
          <w:sz w:val="24"/>
          <w:szCs w:val="24"/>
        </w:rPr>
        <w:t>12.4.1</w:t>
      </w:r>
      <w:r>
        <w:rPr>
          <w:rFonts w:hint="eastAsia" w:ascii="宋体" w:hAnsi="宋体" w:cs="宋体"/>
          <w:color w:val="auto"/>
          <w:sz w:val="24"/>
          <w:szCs w:val="24"/>
        </w:rPr>
        <w:t>勘察费用结算申请的份数和提交期限：满足发包人相关管理规定。</w:t>
      </w:r>
    </w:p>
    <w:p>
      <w:pPr>
        <w:pStyle w:val="50"/>
        <w:spacing w:line="360" w:lineRule="auto"/>
        <w:ind w:firstLine="960" w:firstLineChars="400"/>
        <w:rPr>
          <w:rFonts w:cs="Times New Roman"/>
          <w:color w:val="auto"/>
        </w:rPr>
      </w:pPr>
      <w:r>
        <w:rPr>
          <w:rFonts w:ascii="宋体" w:hAnsi="宋体" w:cs="宋体"/>
          <w:color w:val="auto"/>
        </w:rPr>
        <w:t>12.4.2</w:t>
      </w:r>
      <w:r>
        <w:rPr>
          <w:rFonts w:hint="eastAsia" w:ascii="宋体" w:hAnsi="宋体" w:cs="宋体"/>
          <w:color w:val="auto"/>
        </w:rPr>
        <w:t>逾期付款违约金：每延期支付</w:t>
      </w:r>
      <w:r>
        <w:rPr>
          <w:rFonts w:ascii="宋体" w:hAnsi="宋体" w:cs="宋体"/>
          <w:color w:val="auto"/>
        </w:rPr>
        <w:t>1</w:t>
      </w:r>
      <w:r>
        <w:rPr>
          <w:rFonts w:hint="eastAsia" w:ascii="宋体" w:hAnsi="宋体" w:cs="宋体"/>
          <w:color w:val="auto"/>
        </w:rPr>
        <w:t>天，发包人应付给勘察人拖欠金额的</w:t>
      </w:r>
      <w:r>
        <w:rPr>
          <w:rFonts w:hint="eastAsia" w:ascii="宋体" w:hAnsi="宋体" w:cs="宋体"/>
          <w:color w:val="auto"/>
          <w:u w:val="single"/>
        </w:rPr>
        <w:t>按中国人民银行发布的同期六个月（含六个月）以内短期贷款基准利率加手续费计算）</w:t>
      </w:r>
      <w:r>
        <w:rPr>
          <w:rFonts w:ascii="宋体" w:hAnsi="宋体" w:cs="宋体"/>
          <w:color w:val="auto"/>
          <w:u w:val="single"/>
        </w:rPr>
        <w:t>/%</w:t>
      </w:r>
      <w:r>
        <w:rPr>
          <w:rFonts w:hint="eastAsia" w:ascii="宋体" w:hAnsi="宋体" w:cs="宋体"/>
          <w:color w:val="auto"/>
        </w:rPr>
        <w:t>的违约金。</w:t>
      </w:r>
    </w:p>
    <w:p>
      <w:pPr>
        <w:pStyle w:val="50"/>
        <w:spacing w:line="360" w:lineRule="auto"/>
        <w:ind w:firstLine="482" w:firstLineChars="200"/>
        <w:rPr>
          <w:rFonts w:cs="Times New Roman"/>
          <w:b/>
          <w:bCs/>
          <w:color w:val="auto"/>
        </w:rPr>
      </w:pPr>
      <w:r>
        <w:rPr>
          <w:b/>
          <w:bCs/>
          <w:color w:val="auto"/>
        </w:rPr>
        <w:t xml:space="preserve">12.4 </w:t>
      </w:r>
      <w:r>
        <w:rPr>
          <w:rFonts w:hint="eastAsia" w:cs="宋体"/>
          <w:b/>
          <w:bCs/>
          <w:color w:val="auto"/>
        </w:rPr>
        <w:t>费用结算</w:t>
      </w:r>
    </w:p>
    <w:p>
      <w:pPr>
        <w:pStyle w:val="50"/>
        <w:spacing w:line="360" w:lineRule="auto"/>
        <w:ind w:firstLine="480" w:firstLineChars="200"/>
        <w:rPr>
          <w:rFonts w:cs="Times New Roman"/>
          <w:color w:val="auto"/>
        </w:rPr>
      </w:pPr>
      <w:r>
        <w:rPr>
          <w:color w:val="auto"/>
        </w:rPr>
        <w:t>12.4.1</w:t>
      </w:r>
      <w:r>
        <w:rPr>
          <w:rFonts w:hint="eastAsia" w:cs="宋体"/>
          <w:color w:val="auto"/>
        </w:rPr>
        <w:t>勘察</w:t>
      </w:r>
      <w:r>
        <w:rPr>
          <w:rFonts w:hint="eastAsia" w:cs="宋体"/>
          <w:color w:val="auto"/>
          <w:lang w:val="zh-TW"/>
        </w:rPr>
        <w:t>费用结算申请的份数和提交期限</w:t>
      </w:r>
      <w:r>
        <w:rPr>
          <w:rFonts w:hint="eastAsia" w:cs="宋体"/>
          <w:color w:val="auto"/>
        </w:rPr>
        <w:t>：</w:t>
      </w:r>
      <w:r>
        <w:rPr>
          <w:rFonts w:hint="eastAsia" w:cs="宋体"/>
          <w:color w:val="auto"/>
          <w:u w:val="single"/>
        </w:rPr>
        <w:t>满足发包人相关管理规定</w:t>
      </w:r>
      <w:r>
        <w:rPr>
          <w:rFonts w:hint="eastAsia" w:cs="宋体"/>
          <w:color w:val="auto"/>
        </w:rPr>
        <w:t>。</w:t>
      </w:r>
    </w:p>
    <w:p>
      <w:pPr>
        <w:pStyle w:val="50"/>
        <w:spacing w:line="360" w:lineRule="auto"/>
        <w:ind w:firstLine="480" w:firstLineChars="200"/>
        <w:rPr>
          <w:rFonts w:cs="Times New Roman"/>
          <w:color w:val="auto"/>
        </w:rPr>
      </w:pPr>
      <w:r>
        <w:rPr>
          <w:color w:val="auto"/>
        </w:rPr>
        <w:t xml:space="preserve">12.4.2 </w:t>
      </w:r>
      <w:r>
        <w:rPr>
          <w:rFonts w:hint="eastAsia" w:cs="宋体"/>
          <w:color w:val="auto"/>
        </w:rPr>
        <w:t>逾期付款违约金：每延期支付</w:t>
      </w:r>
      <w:r>
        <w:rPr>
          <w:color w:val="auto"/>
        </w:rPr>
        <w:t>1</w:t>
      </w:r>
      <w:r>
        <w:rPr>
          <w:rFonts w:hint="eastAsia" w:cs="宋体"/>
          <w:color w:val="auto"/>
        </w:rPr>
        <w:t>天，发包人应付给勘察人拖欠金额的</w:t>
      </w:r>
      <w:r>
        <w:rPr>
          <w:rFonts w:hint="eastAsia" w:cs="宋体"/>
          <w:color w:val="auto"/>
          <w:u w:val="single"/>
        </w:rPr>
        <w:t>（按中国人民银行发布的同期六个月（含六个月）以内短期贷款基准利率加手续费计算）</w:t>
      </w:r>
      <w:r>
        <w:rPr>
          <w:rFonts w:hint="eastAsia" w:cs="宋体"/>
          <w:color w:val="auto"/>
        </w:rPr>
        <w:t>‰的违约金。</w:t>
      </w:r>
    </w:p>
    <w:p>
      <w:pPr>
        <w:pStyle w:val="50"/>
        <w:spacing w:line="360" w:lineRule="auto"/>
        <w:ind w:firstLine="482" w:firstLineChars="200"/>
        <w:rPr>
          <w:rFonts w:cs="Times New Roman"/>
          <w:b/>
          <w:bCs/>
          <w:color w:val="auto"/>
        </w:rPr>
      </w:pPr>
      <w:r>
        <w:rPr>
          <w:b/>
          <w:bCs/>
          <w:color w:val="auto"/>
        </w:rPr>
        <w:t xml:space="preserve">12.5 </w:t>
      </w:r>
      <w:r>
        <w:rPr>
          <w:rFonts w:hint="eastAsia" w:cs="宋体"/>
          <w:b/>
          <w:bCs/>
          <w:color w:val="auto"/>
        </w:rPr>
        <w:t>暂列金额</w:t>
      </w:r>
    </w:p>
    <w:p>
      <w:pPr>
        <w:pStyle w:val="50"/>
        <w:spacing w:line="360" w:lineRule="auto"/>
        <w:ind w:firstLine="480" w:firstLineChars="200"/>
        <w:rPr>
          <w:rFonts w:cs="Times New Roman"/>
          <w:color w:val="auto"/>
        </w:rPr>
      </w:pPr>
      <w:r>
        <w:rPr>
          <w:color w:val="auto"/>
        </w:rPr>
        <w:t xml:space="preserve">12.5.1 </w:t>
      </w:r>
      <w:r>
        <w:rPr>
          <w:rFonts w:hint="eastAsia" w:cs="宋体"/>
          <w:color w:val="auto"/>
        </w:rPr>
        <w:t>本合同的暂列金额为工程勘察费的</w:t>
      </w:r>
      <w:r>
        <w:rPr>
          <w:color w:val="auto"/>
          <w:u w:val="single"/>
        </w:rPr>
        <w:t xml:space="preserve"> / </w:t>
      </w:r>
      <w:r>
        <w:rPr>
          <w:color w:val="auto"/>
        </w:rPr>
        <w:t>%</w:t>
      </w:r>
      <w:r>
        <w:rPr>
          <w:rFonts w:hint="eastAsia" w:cs="宋体"/>
          <w:color w:val="auto"/>
        </w:rPr>
        <w:t>。</w:t>
      </w:r>
    </w:p>
    <w:p>
      <w:pPr>
        <w:pStyle w:val="50"/>
        <w:spacing w:line="360" w:lineRule="auto"/>
        <w:ind w:firstLine="482" w:firstLineChars="200"/>
        <w:rPr>
          <w:rFonts w:cs="Times New Roman"/>
          <w:b/>
          <w:bCs/>
          <w:color w:val="auto"/>
        </w:rPr>
      </w:pPr>
      <w:r>
        <w:rPr>
          <w:b/>
          <w:bCs/>
          <w:color w:val="auto"/>
        </w:rPr>
        <w:t xml:space="preserve">12.6 </w:t>
      </w:r>
      <w:r>
        <w:rPr>
          <w:rFonts w:hint="eastAsia" w:cs="宋体"/>
          <w:b/>
          <w:bCs/>
          <w:color w:val="auto"/>
        </w:rPr>
        <w:t>质量保证金</w:t>
      </w:r>
    </w:p>
    <w:p>
      <w:pPr>
        <w:pStyle w:val="50"/>
        <w:spacing w:line="360" w:lineRule="auto"/>
        <w:ind w:firstLine="480" w:firstLineChars="200"/>
        <w:rPr>
          <w:rFonts w:cs="Times New Roman"/>
          <w:color w:val="auto"/>
        </w:rPr>
      </w:pPr>
      <w:r>
        <w:rPr>
          <w:rFonts w:hint="eastAsia" w:cs="宋体"/>
          <w:color w:val="auto"/>
        </w:rPr>
        <w:t>本项目的质量保证金为勘察费用总额的</w:t>
      </w:r>
      <w:r>
        <w:rPr>
          <w:rFonts w:ascii="宋体" w:hAnsi="宋体" w:cs="宋体"/>
          <w:color w:val="auto"/>
        </w:rPr>
        <w:t>_</w:t>
      </w:r>
      <w:r>
        <w:rPr>
          <w:rFonts w:ascii="宋体" w:hAnsi="宋体" w:cs="宋体"/>
          <w:color w:val="auto"/>
          <w:u w:val="single"/>
        </w:rPr>
        <w:t xml:space="preserve">3 </w:t>
      </w:r>
      <w:r>
        <w:rPr>
          <w:rFonts w:ascii="宋体" w:hAnsi="宋体" w:cs="宋体"/>
          <w:color w:val="auto"/>
        </w:rPr>
        <w:t>%</w:t>
      </w:r>
      <w:r>
        <w:rPr>
          <w:rFonts w:hint="eastAsia" w:ascii="宋体" w:hAnsi="宋体" w:cs="宋体"/>
          <w:color w:val="auto"/>
        </w:rPr>
        <w:t>。</w:t>
      </w:r>
    </w:p>
    <w:p>
      <w:pPr>
        <w:pStyle w:val="50"/>
        <w:spacing w:line="360" w:lineRule="auto"/>
        <w:rPr>
          <w:rFonts w:cs="Times New Roman"/>
          <w:b/>
          <w:bCs/>
          <w:color w:val="auto"/>
        </w:rPr>
      </w:pPr>
      <w:r>
        <w:rPr>
          <w:b/>
          <w:bCs/>
          <w:color w:val="auto"/>
        </w:rPr>
        <w:t>14.</w:t>
      </w:r>
      <w:r>
        <w:rPr>
          <w:rFonts w:hint="eastAsia" w:cs="宋体"/>
          <w:b/>
          <w:bCs/>
          <w:color w:val="auto"/>
        </w:rPr>
        <w:t>违约</w:t>
      </w:r>
    </w:p>
    <w:p>
      <w:pPr>
        <w:pStyle w:val="69"/>
        <w:shd w:val="clear" w:color="auto" w:fill="auto"/>
        <w:spacing w:before="0" w:line="240" w:lineRule="auto"/>
        <w:ind w:firstLine="540"/>
        <w:jc w:val="both"/>
        <w:rPr>
          <w:rFonts w:ascii="宋体" w:hAnsi="宋体" w:eastAsia="宋体" w:cs="Times New Roman"/>
          <w:color w:val="auto"/>
          <w:sz w:val="24"/>
          <w:szCs w:val="24"/>
        </w:rPr>
      </w:pPr>
      <w:r>
        <w:rPr>
          <w:color w:val="auto"/>
          <w:sz w:val="24"/>
          <w:szCs w:val="24"/>
        </w:rPr>
        <w:t xml:space="preserve">14.1 </w:t>
      </w:r>
      <w:r>
        <w:rPr>
          <w:rFonts w:hint="eastAsia" w:ascii="宋体" w:hAnsi="宋体" w:eastAsia="宋体" w:cs="宋体"/>
          <w:color w:val="auto"/>
          <w:sz w:val="24"/>
          <w:szCs w:val="24"/>
        </w:rPr>
        <w:t>勘察人违约</w:t>
      </w:r>
    </w:p>
    <w:p>
      <w:pPr>
        <w:pStyle w:val="60"/>
        <w:shd w:val="clear" w:color="auto" w:fill="auto"/>
        <w:tabs>
          <w:tab w:val="left" w:leader="underscore" w:pos="5582"/>
        </w:tabs>
        <w:spacing w:before="0" w:after="0" w:line="240" w:lineRule="auto"/>
        <w:ind w:firstLine="540"/>
        <w:jc w:val="both"/>
        <w:rPr>
          <w:rFonts w:ascii="宋体" w:hAnsi="宋体" w:eastAsia="宋体" w:cs="Times New Roman"/>
          <w:color w:val="auto"/>
          <w:sz w:val="24"/>
          <w:szCs w:val="24"/>
        </w:rPr>
      </w:pPr>
      <w:r>
        <w:rPr>
          <w:rFonts w:ascii="宋体" w:hAnsi="宋体" w:eastAsia="宋体" w:cs="宋体"/>
          <w:color w:val="auto"/>
          <w:sz w:val="24"/>
          <w:szCs w:val="24"/>
        </w:rPr>
        <w:t>14.1.1 (10)</w:t>
      </w:r>
      <w:r>
        <w:rPr>
          <w:rFonts w:hint="eastAsia" w:ascii="宋体" w:hAnsi="宋体" w:eastAsia="宋体" w:cs="宋体"/>
          <w:color w:val="auto"/>
          <w:sz w:val="24"/>
          <w:szCs w:val="24"/>
        </w:rPr>
        <w:t>施工图预算超过勘察概算的</w:t>
      </w:r>
      <w:r>
        <w:rPr>
          <w:rFonts w:ascii="宋体" w:hAnsi="宋体" w:eastAsia="宋体" w:cs="宋体"/>
          <w:color w:val="auto"/>
          <w:sz w:val="24"/>
          <w:szCs w:val="24"/>
          <w:u w:val="single"/>
        </w:rPr>
        <w:t xml:space="preserve">  /  </w:t>
      </w:r>
      <w:r>
        <w:rPr>
          <w:rFonts w:ascii="宋体" w:hAnsi="宋体" w:eastAsia="宋体" w:cs="宋体"/>
          <w:color w:val="auto"/>
          <w:sz w:val="24"/>
          <w:szCs w:val="24"/>
        </w:rPr>
        <w:t xml:space="preserve"> %,</w:t>
      </w:r>
      <w:r>
        <w:rPr>
          <w:rFonts w:hint="eastAsia" w:ascii="宋体" w:hAnsi="宋体" w:eastAsia="宋体" w:cs="宋体"/>
          <w:color w:val="auto"/>
          <w:sz w:val="24"/>
          <w:szCs w:val="24"/>
        </w:rPr>
        <w:t>或工程竣工决算超过施工</w:t>
      </w:r>
    </w:p>
    <w:p>
      <w:pPr>
        <w:pStyle w:val="60"/>
        <w:shd w:val="clear" w:color="auto" w:fill="auto"/>
        <w:tabs>
          <w:tab w:val="left" w:leader="underscore" w:pos="1205"/>
        </w:tabs>
        <w:spacing w:before="0" w:after="0" w:line="240" w:lineRule="auto"/>
        <w:ind w:firstLine="0"/>
        <w:jc w:val="both"/>
        <w:rPr>
          <w:rFonts w:ascii="宋体" w:hAnsi="宋体" w:eastAsia="宋体" w:cs="Times New Roman"/>
          <w:color w:val="auto"/>
          <w:sz w:val="24"/>
          <w:szCs w:val="24"/>
        </w:rPr>
      </w:pPr>
      <w:r>
        <w:rPr>
          <w:rFonts w:hint="eastAsia" w:ascii="宋体" w:hAnsi="宋体" w:eastAsia="宋体" w:cs="宋体"/>
          <w:color w:val="auto"/>
          <w:sz w:val="24"/>
          <w:szCs w:val="24"/>
        </w:rPr>
        <w:t>图预算的</w:t>
      </w:r>
      <w:r>
        <w:rPr>
          <w:rFonts w:ascii="宋体" w:hAnsi="宋体" w:eastAsia="宋体" w:cs="宋体"/>
          <w:color w:val="auto"/>
          <w:sz w:val="24"/>
          <w:szCs w:val="24"/>
          <w:u w:val="single"/>
        </w:rPr>
        <w:t xml:space="preserve">/ </w:t>
      </w:r>
      <w:r>
        <w:rPr>
          <w:rFonts w:ascii="宋体" w:hAnsi="宋体" w:eastAsia="宋体" w:cs="宋体"/>
          <w:color w:val="auto"/>
          <w:sz w:val="24"/>
          <w:szCs w:val="24"/>
        </w:rPr>
        <w:t>%;</w:t>
      </w:r>
      <w:r>
        <w:rPr>
          <w:rStyle w:val="79"/>
          <w:rFonts w:ascii="宋体" w:hAnsi="宋体" w:eastAsia="宋体" w:cs="宋体"/>
          <w:color w:val="auto"/>
          <w:sz w:val="24"/>
          <w:szCs w:val="24"/>
          <w:lang w:val="en-US"/>
        </w:rPr>
        <w:t>(11)</w:t>
      </w:r>
      <w:r>
        <w:rPr>
          <w:rStyle w:val="79"/>
          <w:rFonts w:hint="eastAsia" w:ascii="宋体" w:hAnsi="宋体" w:eastAsia="宋体" w:cs="宋体"/>
          <w:color w:val="auto"/>
          <w:sz w:val="24"/>
          <w:szCs w:val="24"/>
        </w:rPr>
        <w:t>单个合同段因变更引起的工程费用调整累计超过该合同段合同价</w:t>
      </w:r>
      <w:r>
        <w:rPr>
          <w:rStyle w:val="78"/>
          <w:rFonts w:hint="eastAsia" w:ascii="宋体" w:hAnsi="宋体" w:eastAsia="宋体" w:cs="宋体"/>
          <w:color w:val="auto"/>
          <w:sz w:val="24"/>
          <w:szCs w:val="24"/>
        </w:rPr>
        <w:t>的</w:t>
      </w:r>
      <w:r>
        <w:rPr>
          <w:rStyle w:val="78"/>
          <w:rFonts w:ascii="宋体" w:hAnsi="宋体" w:eastAsia="宋体" w:cs="宋体"/>
          <w:color w:val="auto"/>
          <w:sz w:val="24"/>
          <w:szCs w:val="24"/>
          <w:u w:val="single"/>
          <w:lang w:val="en-US"/>
        </w:rPr>
        <w:t xml:space="preserve">  /  </w:t>
      </w:r>
      <w:r>
        <w:rPr>
          <w:rFonts w:ascii="宋体" w:hAnsi="宋体" w:eastAsia="宋体" w:cs="宋体"/>
          <w:color w:val="auto"/>
          <w:sz w:val="24"/>
          <w:szCs w:val="24"/>
        </w:rPr>
        <w:t>%</w:t>
      </w:r>
    </w:p>
    <w:p>
      <w:pPr>
        <w:pStyle w:val="60"/>
        <w:shd w:val="clear" w:color="auto" w:fill="auto"/>
        <w:spacing w:before="0" w:after="0" w:line="240" w:lineRule="auto"/>
        <w:ind w:left="520" w:firstLine="0"/>
        <w:jc w:val="left"/>
        <w:rPr>
          <w:rFonts w:ascii="宋体" w:hAnsi="宋体" w:eastAsia="宋体" w:cs="Times New Roman"/>
          <w:color w:val="auto"/>
          <w:sz w:val="24"/>
          <w:szCs w:val="24"/>
        </w:rPr>
      </w:pPr>
      <w:r>
        <w:rPr>
          <w:rFonts w:ascii="宋体" w:hAnsi="宋体" w:eastAsia="宋体" w:cs="宋体"/>
          <w:color w:val="auto"/>
          <w:sz w:val="24"/>
          <w:szCs w:val="24"/>
        </w:rPr>
        <w:t>14.1.2</w:t>
      </w:r>
      <w:r>
        <w:rPr>
          <w:rFonts w:hint="eastAsia" w:ascii="宋体" w:hAnsi="宋体" w:eastAsia="宋体" w:cs="宋体"/>
          <w:color w:val="auto"/>
          <w:sz w:val="24"/>
          <w:szCs w:val="24"/>
        </w:rPr>
        <w:t>勘察人发生违约情况时，发包人有权向勘察人课以违约金，具体约定如下：</w:t>
      </w:r>
    </w:p>
    <w:p>
      <w:pPr>
        <w:pStyle w:val="50"/>
        <w:spacing w:line="360" w:lineRule="auto"/>
        <w:ind w:firstLine="480" w:firstLineChars="200"/>
        <w:rPr>
          <w:rFonts w:cs="Times New Roman"/>
          <w:color w:val="auto"/>
          <w:u w:val="single"/>
        </w:rPr>
      </w:pPr>
      <w:r>
        <w:rPr>
          <w:rFonts w:hint="eastAsia" w:ascii="宋体" w:hAnsi="宋体" w:cs="宋体"/>
          <w:color w:val="auto"/>
          <w:u w:val="single"/>
          <w:lang w:val="zh-TW"/>
        </w:rPr>
        <w:t>因</w:t>
      </w:r>
      <w:r>
        <w:rPr>
          <w:rFonts w:hint="eastAsia" w:ascii="宋体" w:hAnsi="宋体" w:cs="宋体"/>
          <w:color w:val="auto"/>
          <w:u w:val="single"/>
        </w:rPr>
        <w:t>勘察人</w:t>
      </w:r>
      <w:r>
        <w:rPr>
          <w:rFonts w:hint="eastAsia" w:ascii="宋体" w:hAnsi="宋体" w:cs="宋体"/>
          <w:color w:val="auto"/>
          <w:u w:val="single"/>
          <w:lang w:val="zh-TW"/>
        </w:rPr>
        <w:t>原因给发包人造成损失的，发包人有权向</w:t>
      </w:r>
      <w:r>
        <w:rPr>
          <w:rFonts w:hint="eastAsia" w:ascii="宋体" w:hAnsi="宋体" w:cs="宋体"/>
          <w:color w:val="auto"/>
          <w:u w:val="single"/>
        </w:rPr>
        <w:t>勘察</w:t>
      </w:r>
      <w:r>
        <w:rPr>
          <w:rFonts w:hint="eastAsia" w:ascii="宋体" w:hAnsi="宋体" w:cs="宋体"/>
          <w:color w:val="auto"/>
          <w:u w:val="single"/>
          <w:lang w:val="zh-TW"/>
        </w:rPr>
        <w:t>人课以</w:t>
      </w:r>
      <w:r>
        <w:rPr>
          <w:rFonts w:ascii="宋体" w:hAnsi="宋体" w:cs="宋体"/>
          <w:color w:val="auto"/>
          <w:u w:val="single"/>
          <w:lang w:val="zh-TW"/>
        </w:rPr>
        <w:t>100%</w:t>
      </w:r>
      <w:r>
        <w:rPr>
          <w:rFonts w:hint="eastAsia" w:ascii="宋体" w:hAnsi="宋体" w:cs="宋体"/>
          <w:color w:val="auto"/>
          <w:u w:val="single"/>
          <w:lang w:val="zh-TW"/>
        </w:rPr>
        <w:t>实际损失金额的违约金，但最高不超过勘察</w:t>
      </w:r>
      <w:r>
        <w:rPr>
          <w:rFonts w:hint="eastAsia" w:ascii="宋体" w:hAnsi="宋体" w:cs="宋体"/>
          <w:color w:val="auto"/>
          <w:u w:val="single"/>
        </w:rPr>
        <w:t>勘察</w:t>
      </w:r>
      <w:r>
        <w:rPr>
          <w:rFonts w:hint="eastAsia" w:ascii="宋体" w:hAnsi="宋体" w:cs="宋体"/>
          <w:color w:val="auto"/>
          <w:u w:val="single"/>
          <w:lang w:val="zh-TW"/>
        </w:rPr>
        <w:t>合同额的</w:t>
      </w:r>
      <w:r>
        <w:rPr>
          <w:rFonts w:ascii="宋体" w:hAnsi="宋体" w:cs="宋体"/>
          <w:color w:val="auto"/>
          <w:u w:val="single"/>
          <w:lang w:val="zh-TW"/>
        </w:rPr>
        <w:t xml:space="preserve">40% </w:t>
      </w:r>
      <w:r>
        <w:rPr>
          <w:rFonts w:hint="eastAsia" w:ascii="宋体" w:hAnsi="宋体" w:cs="宋体"/>
          <w:color w:val="auto"/>
          <w:u w:val="single"/>
          <w:lang w:val="zh-TW"/>
        </w:rPr>
        <w:t>。不得分包或转包；不得擅自更换项目负责人，若更换需经原招标审批单位同意后，擅自更换扣</w:t>
      </w:r>
      <w:r>
        <w:rPr>
          <w:rFonts w:hint="eastAsia" w:ascii="宋体" w:hAnsi="宋体" w:cs="宋体"/>
          <w:color w:val="auto"/>
          <w:u w:val="single"/>
        </w:rPr>
        <w:t>勘察</w:t>
      </w:r>
      <w:r>
        <w:rPr>
          <w:rFonts w:hint="eastAsia" w:ascii="宋体" w:hAnsi="宋体" w:cs="宋体"/>
          <w:color w:val="auto"/>
          <w:u w:val="single"/>
          <w:lang w:val="zh-TW"/>
        </w:rPr>
        <w:t>费</w:t>
      </w:r>
      <w:r>
        <w:rPr>
          <w:rFonts w:ascii="宋体" w:hAnsi="宋体" w:cs="宋体"/>
          <w:color w:val="auto"/>
          <w:u w:val="single"/>
          <w:lang w:val="zh-TW"/>
        </w:rPr>
        <w:t>5%</w:t>
      </w:r>
      <w:r>
        <w:rPr>
          <w:rFonts w:hint="eastAsia" w:ascii="宋体" w:hAnsi="宋体" w:cs="宋体"/>
          <w:color w:val="auto"/>
          <w:u w:val="single"/>
          <w:lang w:val="zh-TW"/>
        </w:rPr>
        <w:t>；</w:t>
      </w:r>
      <w:r>
        <w:rPr>
          <w:rFonts w:hint="eastAsia" w:ascii="宋体" w:hAnsi="宋体" w:cs="宋体"/>
          <w:color w:val="auto"/>
          <w:u w:val="single"/>
        </w:rPr>
        <w:t>勘察</w:t>
      </w:r>
      <w:r>
        <w:rPr>
          <w:rFonts w:hint="eastAsia" w:ascii="宋体" w:hAnsi="宋体" w:cs="宋体"/>
          <w:color w:val="auto"/>
          <w:u w:val="single"/>
          <w:lang w:val="zh-TW"/>
        </w:rPr>
        <w:t>人对</w:t>
      </w:r>
      <w:r>
        <w:rPr>
          <w:rFonts w:hint="eastAsia" w:ascii="宋体" w:hAnsi="宋体" w:cs="宋体"/>
          <w:color w:val="auto"/>
          <w:u w:val="single"/>
        </w:rPr>
        <w:t>勘察</w:t>
      </w:r>
      <w:r>
        <w:rPr>
          <w:rFonts w:hint="eastAsia" w:ascii="宋体" w:hAnsi="宋体" w:cs="宋体"/>
          <w:color w:val="auto"/>
          <w:u w:val="single"/>
          <w:lang w:val="zh-TW"/>
        </w:rPr>
        <w:t>文件出现的遗漏或错误负责修改或补充，由于</w:t>
      </w:r>
      <w:r>
        <w:rPr>
          <w:rFonts w:hint="eastAsia" w:ascii="宋体" w:hAnsi="宋体" w:cs="宋体"/>
          <w:color w:val="auto"/>
          <w:u w:val="single"/>
        </w:rPr>
        <w:t>勘察</w:t>
      </w:r>
      <w:r>
        <w:rPr>
          <w:rFonts w:hint="eastAsia" w:ascii="宋体" w:hAnsi="宋体" w:cs="宋体"/>
          <w:color w:val="auto"/>
          <w:u w:val="single"/>
          <w:lang w:val="zh-TW"/>
        </w:rPr>
        <w:t>人的错误造成一般工程质量事故的，</w:t>
      </w:r>
      <w:r>
        <w:rPr>
          <w:rFonts w:hint="eastAsia" w:ascii="宋体" w:hAnsi="宋体" w:cs="宋体"/>
          <w:color w:val="auto"/>
          <w:u w:val="single"/>
        </w:rPr>
        <w:t>勘察</w:t>
      </w:r>
      <w:r>
        <w:rPr>
          <w:rFonts w:hint="eastAsia" w:ascii="宋体" w:hAnsi="宋体" w:cs="宋体"/>
          <w:color w:val="auto"/>
          <w:u w:val="single"/>
          <w:lang w:val="zh-TW"/>
        </w:rPr>
        <w:t>人除采取补措施外，应免收损失部分的</w:t>
      </w:r>
      <w:r>
        <w:rPr>
          <w:rFonts w:hint="eastAsia" w:ascii="宋体" w:hAnsi="宋体" w:cs="宋体"/>
          <w:color w:val="auto"/>
          <w:u w:val="single"/>
        </w:rPr>
        <w:t>勘察</w:t>
      </w:r>
      <w:r>
        <w:rPr>
          <w:rFonts w:hint="eastAsia" w:ascii="宋体" w:hAnsi="宋体" w:cs="宋体"/>
          <w:color w:val="auto"/>
          <w:u w:val="single"/>
          <w:lang w:val="zh-TW"/>
        </w:rPr>
        <w:t>费，并再扣除相当于损失部分</w:t>
      </w:r>
      <w:r>
        <w:rPr>
          <w:rFonts w:hint="eastAsia" w:ascii="宋体" w:hAnsi="宋体" w:cs="宋体"/>
          <w:color w:val="auto"/>
          <w:u w:val="single"/>
        </w:rPr>
        <w:t>勘察</w:t>
      </w:r>
      <w:r>
        <w:rPr>
          <w:rFonts w:hint="eastAsia" w:ascii="宋体" w:hAnsi="宋体" w:cs="宋体"/>
          <w:color w:val="auto"/>
          <w:u w:val="single"/>
          <w:lang w:val="zh-TW"/>
        </w:rPr>
        <w:t>费作为违约金；因</w:t>
      </w:r>
      <w:r>
        <w:rPr>
          <w:rFonts w:hint="eastAsia" w:ascii="宋体" w:hAnsi="宋体" w:cs="宋体"/>
          <w:color w:val="auto"/>
          <w:u w:val="single"/>
        </w:rPr>
        <w:t>勘察</w:t>
      </w:r>
      <w:r>
        <w:rPr>
          <w:rFonts w:hint="eastAsia" w:ascii="宋体" w:hAnsi="宋体" w:cs="宋体"/>
          <w:color w:val="auto"/>
          <w:u w:val="single"/>
          <w:lang w:val="zh-TW"/>
        </w:rPr>
        <w:t>缺陷、不足等自身原因造成重大质量事故的，扣除总</w:t>
      </w:r>
      <w:r>
        <w:rPr>
          <w:rFonts w:hint="eastAsia" w:ascii="宋体" w:hAnsi="宋体" w:cs="宋体"/>
          <w:color w:val="auto"/>
          <w:u w:val="single"/>
        </w:rPr>
        <w:t>勘察</w:t>
      </w:r>
      <w:r>
        <w:rPr>
          <w:rFonts w:hint="eastAsia" w:ascii="宋体" w:hAnsi="宋体" w:cs="宋体"/>
          <w:color w:val="auto"/>
          <w:u w:val="single"/>
          <w:lang w:val="zh-TW"/>
        </w:rPr>
        <w:t>费用的</w:t>
      </w:r>
      <w:r>
        <w:rPr>
          <w:rFonts w:ascii="宋体" w:hAnsi="宋体" w:cs="宋体"/>
          <w:color w:val="auto"/>
          <w:u w:val="single"/>
          <w:lang w:val="zh-TW"/>
        </w:rPr>
        <w:t>3%</w:t>
      </w:r>
      <w:r>
        <w:rPr>
          <w:rFonts w:hint="eastAsia" w:ascii="宋体" w:hAnsi="宋体" w:cs="宋体"/>
          <w:color w:val="auto"/>
          <w:u w:val="single"/>
          <w:lang w:val="zh-TW"/>
        </w:rPr>
        <w:t>，作为违约罚款，并有权报请有关主管部门视事故造成的损失情况给予其他处罚</w:t>
      </w:r>
      <w:r>
        <w:rPr>
          <w:rFonts w:hint="eastAsia" w:ascii="宋体" w:hAnsi="宋体" w:cs="宋体"/>
          <w:color w:val="auto"/>
          <w:lang w:val="zh-TW"/>
        </w:rPr>
        <w:t>。</w:t>
      </w:r>
    </w:p>
    <w:p>
      <w:pPr>
        <w:pStyle w:val="50"/>
        <w:spacing w:line="360" w:lineRule="auto"/>
        <w:ind w:firstLine="482" w:firstLineChars="200"/>
        <w:rPr>
          <w:rFonts w:cs="Times New Roman"/>
          <w:b/>
          <w:bCs/>
          <w:color w:val="auto"/>
        </w:rPr>
      </w:pPr>
      <w:r>
        <w:rPr>
          <w:b/>
          <w:bCs/>
          <w:color w:val="auto"/>
        </w:rPr>
        <w:t>14.2</w:t>
      </w:r>
      <w:r>
        <w:rPr>
          <w:rFonts w:hint="eastAsia" w:cs="宋体"/>
          <w:b/>
          <w:bCs/>
          <w:color w:val="auto"/>
        </w:rPr>
        <w:t>发包人违约</w:t>
      </w:r>
    </w:p>
    <w:p>
      <w:pPr>
        <w:pStyle w:val="50"/>
        <w:spacing w:line="360" w:lineRule="auto"/>
        <w:ind w:firstLine="480" w:firstLineChars="200"/>
        <w:rPr>
          <w:rFonts w:cs="Times New Roman"/>
          <w:color w:val="auto"/>
        </w:rPr>
      </w:pPr>
      <w:r>
        <w:rPr>
          <w:color w:val="auto"/>
        </w:rPr>
        <w:t xml:space="preserve">14.2.2 </w:t>
      </w:r>
      <w:r>
        <w:rPr>
          <w:rFonts w:hint="eastAsia" w:cs="宋体"/>
          <w:color w:val="auto"/>
        </w:rPr>
        <w:t>发包人发生违约情况时，勘察人有权向发包人课以违约金，具体约定如下：</w:t>
      </w:r>
      <w:r>
        <w:rPr>
          <w:color w:val="auto"/>
          <w:u w:val="single"/>
        </w:rPr>
        <w:t>/</w:t>
      </w:r>
      <w:r>
        <w:rPr>
          <w:rFonts w:hint="eastAsia" w:cs="宋体"/>
          <w:color w:val="auto"/>
        </w:rPr>
        <w:t>。</w:t>
      </w:r>
    </w:p>
    <w:p>
      <w:pPr>
        <w:pStyle w:val="50"/>
        <w:spacing w:line="360" w:lineRule="auto"/>
        <w:rPr>
          <w:rFonts w:cs="Times New Roman"/>
          <w:b/>
          <w:bCs/>
          <w:color w:val="auto"/>
        </w:rPr>
      </w:pPr>
      <w:r>
        <w:rPr>
          <w:b/>
          <w:bCs/>
          <w:color w:val="auto"/>
        </w:rPr>
        <w:t>15.</w:t>
      </w:r>
      <w:r>
        <w:rPr>
          <w:rFonts w:hint="eastAsia" w:cs="宋体"/>
          <w:b/>
          <w:bCs/>
          <w:color w:val="auto"/>
        </w:rPr>
        <w:t>争议的解决</w:t>
      </w:r>
    </w:p>
    <w:p>
      <w:pPr>
        <w:pStyle w:val="50"/>
        <w:spacing w:line="360" w:lineRule="auto"/>
        <w:ind w:firstLine="480" w:firstLineChars="200"/>
        <w:rPr>
          <w:rFonts w:cs="Times New Roman"/>
          <w:color w:val="auto"/>
        </w:rPr>
      </w:pPr>
      <w:r>
        <w:rPr>
          <w:color w:val="auto"/>
        </w:rPr>
        <w:t xml:space="preserve">15.1 </w:t>
      </w:r>
      <w:r>
        <w:rPr>
          <w:rFonts w:hint="eastAsia" w:cs="宋体"/>
          <w:color w:val="auto"/>
        </w:rPr>
        <w:t>争议的最终解决方式：</w:t>
      </w:r>
      <w:r>
        <w:rPr>
          <w:rFonts w:hint="eastAsia" w:cs="宋体"/>
          <w:color w:val="auto"/>
          <w:u w:val="single"/>
        </w:rPr>
        <w:t>诉讼</w:t>
      </w:r>
    </w:p>
    <w:p>
      <w:pPr>
        <w:pStyle w:val="50"/>
        <w:spacing w:line="360" w:lineRule="auto"/>
        <w:ind w:firstLine="480" w:firstLineChars="200"/>
        <w:rPr>
          <w:rFonts w:cs="Times New Roman"/>
          <w:color w:val="auto"/>
          <w:u w:val="single"/>
        </w:rPr>
      </w:pPr>
      <w:r>
        <w:rPr>
          <w:rFonts w:hint="eastAsia" w:cs="宋体"/>
          <w:color w:val="auto"/>
        </w:rPr>
        <w:t>诉讼机构名称：</w:t>
      </w:r>
      <w:r>
        <w:rPr>
          <w:rFonts w:hint="eastAsia" w:cs="宋体"/>
          <w:color w:val="auto"/>
          <w:u w:val="single"/>
        </w:rPr>
        <w:t>工程所在地人民</w:t>
      </w:r>
      <w:r>
        <w:rPr>
          <w:rFonts w:hint="eastAsia" w:cs="宋体"/>
          <w:color w:val="auto"/>
        </w:rPr>
        <w:t>法院。</w:t>
      </w:r>
    </w:p>
    <w:p>
      <w:pPr>
        <w:pStyle w:val="50"/>
        <w:jc w:val="center"/>
        <w:rPr>
          <w:rFonts w:cs="Times New Roman"/>
          <w:color w:val="auto"/>
          <w:sz w:val="18"/>
          <w:szCs w:val="18"/>
        </w:rPr>
      </w:pPr>
    </w:p>
    <w:p>
      <w:pPr>
        <w:pStyle w:val="50"/>
        <w:jc w:val="center"/>
        <w:rPr>
          <w:rFonts w:cs="Times New Roman"/>
          <w:color w:val="auto"/>
          <w:sz w:val="18"/>
          <w:szCs w:val="18"/>
        </w:rPr>
      </w:pPr>
    </w:p>
    <w:p>
      <w:pPr>
        <w:pStyle w:val="50"/>
        <w:jc w:val="center"/>
        <w:rPr>
          <w:rFonts w:cs="Times New Roman"/>
          <w:color w:val="auto"/>
          <w:sz w:val="18"/>
          <w:szCs w:val="18"/>
        </w:rPr>
      </w:pPr>
    </w:p>
    <w:p>
      <w:pPr>
        <w:pStyle w:val="50"/>
        <w:jc w:val="center"/>
        <w:rPr>
          <w:rFonts w:cs="Times New Roman"/>
          <w:color w:val="auto"/>
          <w:sz w:val="18"/>
          <w:szCs w:val="18"/>
        </w:rPr>
      </w:pPr>
    </w:p>
    <w:p>
      <w:pPr>
        <w:pStyle w:val="50"/>
        <w:jc w:val="center"/>
        <w:rPr>
          <w:rFonts w:cs="Times New Roman"/>
          <w:color w:val="auto"/>
          <w:sz w:val="18"/>
          <w:szCs w:val="18"/>
        </w:rPr>
      </w:pPr>
    </w:p>
    <w:p>
      <w:pPr>
        <w:pStyle w:val="50"/>
        <w:jc w:val="center"/>
        <w:rPr>
          <w:rFonts w:cs="Times New Roman"/>
          <w:color w:val="auto"/>
          <w:sz w:val="18"/>
          <w:szCs w:val="18"/>
        </w:rPr>
      </w:pPr>
    </w:p>
    <w:p>
      <w:pPr>
        <w:pStyle w:val="50"/>
        <w:jc w:val="center"/>
        <w:rPr>
          <w:rFonts w:cs="Times New Roman"/>
          <w:color w:val="auto"/>
          <w:sz w:val="18"/>
          <w:szCs w:val="18"/>
        </w:rPr>
      </w:pPr>
    </w:p>
    <w:p>
      <w:pPr>
        <w:pStyle w:val="50"/>
        <w:jc w:val="center"/>
        <w:rPr>
          <w:rFonts w:cs="Times New Roman"/>
          <w:color w:val="auto"/>
          <w:sz w:val="18"/>
          <w:szCs w:val="18"/>
        </w:rPr>
      </w:pPr>
    </w:p>
    <w:p>
      <w:pPr>
        <w:pStyle w:val="50"/>
        <w:jc w:val="center"/>
        <w:rPr>
          <w:rFonts w:cs="Times New Roman"/>
          <w:color w:val="auto"/>
          <w:sz w:val="18"/>
          <w:szCs w:val="18"/>
        </w:rPr>
      </w:pPr>
    </w:p>
    <w:p>
      <w:pPr>
        <w:pStyle w:val="50"/>
        <w:jc w:val="center"/>
        <w:rPr>
          <w:rFonts w:cs="Times New Roman"/>
          <w:color w:val="auto"/>
          <w:sz w:val="18"/>
          <w:szCs w:val="18"/>
        </w:rPr>
      </w:pPr>
    </w:p>
    <w:p>
      <w:pPr>
        <w:pStyle w:val="50"/>
        <w:jc w:val="center"/>
        <w:rPr>
          <w:rFonts w:cs="Times New Roman"/>
          <w:color w:val="auto"/>
          <w:sz w:val="18"/>
          <w:szCs w:val="18"/>
        </w:rPr>
      </w:pPr>
    </w:p>
    <w:p>
      <w:pPr>
        <w:pStyle w:val="50"/>
        <w:jc w:val="center"/>
        <w:rPr>
          <w:rFonts w:cs="Times New Roman"/>
          <w:color w:val="auto"/>
          <w:sz w:val="18"/>
          <w:szCs w:val="18"/>
        </w:rPr>
      </w:pPr>
    </w:p>
    <w:p>
      <w:pPr>
        <w:pStyle w:val="50"/>
        <w:jc w:val="center"/>
        <w:rPr>
          <w:rFonts w:cs="Times New Roman"/>
          <w:color w:val="auto"/>
          <w:sz w:val="18"/>
          <w:szCs w:val="18"/>
        </w:rPr>
      </w:pPr>
    </w:p>
    <w:p>
      <w:pPr>
        <w:pStyle w:val="50"/>
        <w:jc w:val="center"/>
        <w:rPr>
          <w:rFonts w:ascii="黑体" w:eastAsia="黑体" w:cs="黑体"/>
          <w:b/>
          <w:bCs/>
          <w:color w:val="auto"/>
          <w:sz w:val="32"/>
          <w:szCs w:val="32"/>
        </w:rPr>
      </w:pPr>
    </w:p>
    <w:p>
      <w:pPr>
        <w:pStyle w:val="50"/>
        <w:jc w:val="center"/>
        <w:rPr>
          <w:rFonts w:ascii="黑体" w:eastAsia="黑体" w:cs="黑体"/>
          <w:b/>
          <w:bCs/>
          <w:color w:val="auto"/>
          <w:sz w:val="32"/>
          <w:szCs w:val="32"/>
        </w:rPr>
      </w:pPr>
    </w:p>
    <w:p>
      <w:pPr>
        <w:pStyle w:val="50"/>
        <w:jc w:val="center"/>
        <w:rPr>
          <w:rFonts w:ascii="黑体" w:eastAsia="黑体" w:cs="黑体"/>
          <w:b/>
          <w:bCs/>
          <w:color w:val="auto"/>
          <w:sz w:val="32"/>
          <w:szCs w:val="32"/>
        </w:rPr>
      </w:pPr>
    </w:p>
    <w:p>
      <w:pPr>
        <w:pStyle w:val="50"/>
        <w:jc w:val="center"/>
        <w:rPr>
          <w:rFonts w:ascii="黑体" w:eastAsia="黑体" w:cs="黑体"/>
          <w:b/>
          <w:bCs/>
          <w:color w:val="auto"/>
          <w:sz w:val="32"/>
          <w:szCs w:val="32"/>
        </w:rPr>
      </w:pPr>
    </w:p>
    <w:p>
      <w:pPr>
        <w:pStyle w:val="50"/>
        <w:jc w:val="center"/>
        <w:rPr>
          <w:rFonts w:ascii="黑体" w:eastAsia="黑体" w:cs="黑体"/>
          <w:b/>
          <w:bCs/>
          <w:color w:val="auto"/>
          <w:sz w:val="32"/>
          <w:szCs w:val="32"/>
        </w:rPr>
      </w:pPr>
    </w:p>
    <w:p>
      <w:pPr>
        <w:pStyle w:val="50"/>
        <w:jc w:val="center"/>
        <w:rPr>
          <w:rFonts w:ascii="黑体" w:eastAsia="黑体" w:cs="黑体"/>
          <w:b/>
          <w:bCs/>
          <w:color w:val="auto"/>
          <w:sz w:val="32"/>
          <w:szCs w:val="32"/>
        </w:rPr>
      </w:pPr>
    </w:p>
    <w:p>
      <w:pPr>
        <w:pStyle w:val="50"/>
        <w:jc w:val="center"/>
        <w:rPr>
          <w:rFonts w:ascii="黑体" w:eastAsia="黑体" w:cs="黑体"/>
          <w:b/>
          <w:bCs/>
          <w:color w:val="auto"/>
          <w:sz w:val="32"/>
          <w:szCs w:val="32"/>
        </w:rPr>
      </w:pPr>
    </w:p>
    <w:p>
      <w:pPr>
        <w:pStyle w:val="50"/>
        <w:jc w:val="center"/>
        <w:rPr>
          <w:rFonts w:ascii="黑体" w:eastAsia="黑体" w:cs="黑体"/>
          <w:b/>
          <w:bCs/>
          <w:color w:val="auto"/>
          <w:sz w:val="32"/>
          <w:szCs w:val="32"/>
        </w:rPr>
      </w:pPr>
    </w:p>
    <w:p>
      <w:pPr>
        <w:pStyle w:val="50"/>
        <w:jc w:val="center"/>
        <w:rPr>
          <w:rFonts w:ascii="黑体" w:eastAsia="黑体" w:cs="黑体"/>
          <w:b/>
          <w:bCs/>
          <w:color w:val="auto"/>
          <w:sz w:val="32"/>
          <w:szCs w:val="32"/>
        </w:rPr>
      </w:pPr>
    </w:p>
    <w:p>
      <w:pPr>
        <w:pStyle w:val="50"/>
        <w:jc w:val="center"/>
        <w:rPr>
          <w:rFonts w:ascii="黑体" w:eastAsia="黑体" w:cs="黑体"/>
          <w:b/>
          <w:bCs/>
          <w:color w:val="auto"/>
          <w:sz w:val="32"/>
          <w:szCs w:val="32"/>
        </w:rPr>
      </w:pPr>
    </w:p>
    <w:p>
      <w:pPr>
        <w:pStyle w:val="50"/>
        <w:jc w:val="center"/>
        <w:rPr>
          <w:rFonts w:ascii="黑体" w:eastAsia="黑体" w:cs="黑体"/>
          <w:b/>
          <w:bCs/>
          <w:color w:val="auto"/>
          <w:sz w:val="32"/>
          <w:szCs w:val="32"/>
        </w:rPr>
      </w:pPr>
    </w:p>
    <w:p>
      <w:pPr>
        <w:pStyle w:val="50"/>
        <w:jc w:val="center"/>
        <w:rPr>
          <w:rFonts w:ascii="黑体" w:eastAsia="黑体" w:cs="黑体"/>
          <w:b/>
          <w:bCs/>
          <w:color w:val="auto"/>
          <w:sz w:val="32"/>
          <w:szCs w:val="32"/>
        </w:rPr>
      </w:pPr>
    </w:p>
    <w:p>
      <w:pPr>
        <w:pStyle w:val="50"/>
        <w:jc w:val="center"/>
        <w:rPr>
          <w:rFonts w:ascii="黑体" w:eastAsia="黑体" w:cs="黑体"/>
          <w:b/>
          <w:bCs/>
          <w:color w:val="auto"/>
          <w:sz w:val="32"/>
          <w:szCs w:val="32"/>
        </w:rPr>
      </w:pPr>
    </w:p>
    <w:p>
      <w:pPr>
        <w:pStyle w:val="50"/>
        <w:jc w:val="center"/>
        <w:rPr>
          <w:rFonts w:ascii="黑体" w:eastAsia="黑体" w:cs="黑体"/>
          <w:b/>
          <w:bCs/>
          <w:color w:val="auto"/>
          <w:sz w:val="32"/>
          <w:szCs w:val="32"/>
        </w:rPr>
      </w:pPr>
    </w:p>
    <w:p>
      <w:pPr>
        <w:pStyle w:val="50"/>
        <w:jc w:val="center"/>
        <w:rPr>
          <w:rFonts w:ascii="黑体" w:eastAsia="黑体" w:cs="黑体"/>
          <w:b/>
          <w:bCs/>
          <w:color w:val="auto"/>
          <w:sz w:val="32"/>
          <w:szCs w:val="32"/>
        </w:rPr>
      </w:pPr>
    </w:p>
    <w:p>
      <w:pPr>
        <w:pStyle w:val="50"/>
        <w:jc w:val="center"/>
        <w:rPr>
          <w:rFonts w:ascii="黑体" w:eastAsia="黑体" w:cs="黑体"/>
          <w:b/>
          <w:bCs/>
          <w:color w:val="auto"/>
          <w:sz w:val="32"/>
          <w:szCs w:val="32"/>
        </w:rPr>
      </w:pPr>
    </w:p>
    <w:p>
      <w:pPr>
        <w:pStyle w:val="50"/>
        <w:jc w:val="center"/>
        <w:rPr>
          <w:rFonts w:ascii="黑体" w:eastAsia="黑体" w:cs="黑体"/>
          <w:b/>
          <w:bCs/>
          <w:color w:val="auto"/>
          <w:sz w:val="32"/>
          <w:szCs w:val="32"/>
        </w:rPr>
      </w:pPr>
    </w:p>
    <w:p>
      <w:pPr>
        <w:pStyle w:val="50"/>
        <w:jc w:val="center"/>
        <w:rPr>
          <w:rFonts w:ascii="黑体" w:eastAsia="黑体" w:cs="黑体"/>
          <w:b/>
          <w:bCs/>
          <w:color w:val="auto"/>
          <w:sz w:val="32"/>
          <w:szCs w:val="32"/>
        </w:rPr>
      </w:pPr>
    </w:p>
    <w:p>
      <w:pPr>
        <w:pStyle w:val="50"/>
        <w:jc w:val="center"/>
        <w:rPr>
          <w:rFonts w:ascii="黑体" w:eastAsia="黑体" w:cs="黑体"/>
          <w:b/>
          <w:bCs/>
          <w:color w:val="auto"/>
          <w:sz w:val="32"/>
          <w:szCs w:val="32"/>
        </w:rPr>
      </w:pPr>
    </w:p>
    <w:p>
      <w:pPr>
        <w:pStyle w:val="50"/>
        <w:jc w:val="center"/>
        <w:rPr>
          <w:rFonts w:ascii="黑体" w:eastAsia="黑体" w:cs="黑体"/>
          <w:b/>
          <w:bCs/>
          <w:color w:val="auto"/>
          <w:sz w:val="32"/>
          <w:szCs w:val="32"/>
        </w:rPr>
      </w:pPr>
    </w:p>
    <w:p>
      <w:pPr>
        <w:pStyle w:val="50"/>
        <w:jc w:val="center"/>
        <w:rPr>
          <w:rFonts w:ascii="黑体" w:eastAsia="黑体" w:cs="黑体"/>
          <w:b/>
          <w:bCs/>
          <w:color w:val="auto"/>
          <w:sz w:val="32"/>
          <w:szCs w:val="32"/>
        </w:rPr>
      </w:pPr>
    </w:p>
    <w:p>
      <w:pPr>
        <w:pStyle w:val="50"/>
        <w:jc w:val="center"/>
        <w:rPr>
          <w:rFonts w:ascii="黑体" w:eastAsia="黑体" w:cs="黑体"/>
          <w:b/>
          <w:bCs/>
          <w:color w:val="auto"/>
          <w:sz w:val="32"/>
          <w:szCs w:val="32"/>
        </w:rPr>
      </w:pPr>
    </w:p>
    <w:p>
      <w:pPr>
        <w:pStyle w:val="50"/>
        <w:jc w:val="center"/>
        <w:rPr>
          <w:rFonts w:ascii="黑体" w:eastAsia="黑体" w:cs="黑体"/>
          <w:b/>
          <w:bCs/>
          <w:color w:val="auto"/>
          <w:sz w:val="32"/>
          <w:szCs w:val="32"/>
        </w:rPr>
      </w:pPr>
    </w:p>
    <w:p>
      <w:pPr>
        <w:pStyle w:val="50"/>
        <w:jc w:val="center"/>
        <w:rPr>
          <w:rFonts w:ascii="黑体" w:eastAsia="黑体" w:cs="黑体"/>
          <w:b/>
          <w:bCs/>
          <w:color w:val="auto"/>
          <w:sz w:val="32"/>
          <w:szCs w:val="32"/>
        </w:rPr>
      </w:pPr>
    </w:p>
    <w:p>
      <w:pPr>
        <w:pStyle w:val="50"/>
        <w:jc w:val="center"/>
        <w:rPr>
          <w:rFonts w:ascii="黑体" w:eastAsia="黑体" w:cs="黑体"/>
          <w:b/>
          <w:bCs/>
          <w:color w:val="auto"/>
          <w:sz w:val="32"/>
          <w:szCs w:val="32"/>
        </w:rPr>
      </w:pPr>
    </w:p>
    <w:p>
      <w:pPr>
        <w:pStyle w:val="50"/>
        <w:jc w:val="center"/>
        <w:rPr>
          <w:rFonts w:ascii="黑体" w:eastAsia="黑体" w:cs="黑体"/>
          <w:b/>
          <w:bCs/>
          <w:color w:val="auto"/>
          <w:sz w:val="32"/>
          <w:szCs w:val="32"/>
        </w:rPr>
      </w:pPr>
    </w:p>
    <w:p>
      <w:pPr>
        <w:pStyle w:val="50"/>
        <w:jc w:val="center"/>
        <w:rPr>
          <w:rFonts w:ascii="黑体" w:eastAsia="黑体" w:cs="Times New Roman"/>
          <w:b/>
          <w:bCs/>
          <w:color w:val="auto"/>
          <w:sz w:val="32"/>
          <w:szCs w:val="32"/>
        </w:rPr>
      </w:pPr>
      <w:r>
        <w:rPr>
          <w:rFonts w:hint="eastAsia" w:ascii="黑体" w:eastAsia="黑体" w:cs="黑体"/>
          <w:b/>
          <w:bCs/>
          <w:color w:val="auto"/>
          <w:sz w:val="32"/>
          <w:szCs w:val="32"/>
        </w:rPr>
        <w:t>第三节合同附件格式</w:t>
      </w:r>
    </w:p>
    <w:p>
      <w:pPr>
        <w:autoSpaceDE w:val="0"/>
        <w:autoSpaceDN w:val="0"/>
        <w:adjustRightInd w:val="0"/>
        <w:spacing w:line="360" w:lineRule="auto"/>
        <w:jc w:val="left"/>
        <w:rPr>
          <w:rFonts w:ascii="Times New Roman" w:cs="Times New Roman"/>
          <w:color w:val="auto"/>
          <w:kern w:val="0"/>
          <w:sz w:val="18"/>
          <w:szCs w:val="18"/>
        </w:rPr>
      </w:pPr>
    </w:p>
    <w:p>
      <w:pPr>
        <w:pStyle w:val="50"/>
        <w:rPr>
          <w:b/>
          <w:bCs/>
          <w:color w:val="auto"/>
        </w:rPr>
      </w:pPr>
      <w:r>
        <w:rPr>
          <w:rFonts w:cs="Times New Roman"/>
          <w:color w:val="auto"/>
        </w:rPr>
        <w:br w:type="page"/>
      </w:r>
      <w:r>
        <w:rPr>
          <w:rFonts w:hint="eastAsia" w:cs="宋体"/>
          <w:b/>
          <w:bCs/>
          <w:color w:val="auto"/>
        </w:rPr>
        <w:t>附件一合同协议书</w:t>
      </w:r>
    </w:p>
    <w:p>
      <w:pPr>
        <w:pStyle w:val="50"/>
        <w:spacing w:line="360" w:lineRule="auto"/>
        <w:rPr>
          <w:rFonts w:cs="Times New Roman"/>
          <w:color w:val="auto"/>
        </w:rPr>
      </w:pPr>
    </w:p>
    <w:p>
      <w:pPr>
        <w:autoSpaceDE w:val="0"/>
        <w:autoSpaceDN w:val="0"/>
        <w:snapToGrid w:val="0"/>
        <w:spacing w:line="360" w:lineRule="auto"/>
        <w:jc w:val="center"/>
        <w:rPr>
          <w:rFonts w:ascii="黑体" w:eastAsia="黑体" w:cs="Times New Roman"/>
          <w:color w:val="auto"/>
          <w:sz w:val="32"/>
          <w:szCs w:val="32"/>
        </w:rPr>
      </w:pPr>
      <w:r>
        <w:rPr>
          <w:rFonts w:hint="eastAsia" w:ascii="黑体" w:eastAsia="黑体" w:cs="黑体"/>
          <w:color w:val="auto"/>
          <w:sz w:val="32"/>
          <w:szCs w:val="32"/>
        </w:rPr>
        <w:t>合同协议书</w:t>
      </w:r>
    </w:p>
    <w:p>
      <w:pPr>
        <w:widowControl/>
        <w:jc w:val="center"/>
        <w:rPr>
          <w:rFonts w:ascii="宋体" w:cs="Times New Roman"/>
          <w:color w:val="auto"/>
          <w:sz w:val="24"/>
          <w:szCs w:val="24"/>
        </w:rPr>
      </w:pPr>
      <w:r>
        <w:rPr>
          <w:rFonts w:hint="eastAsia" w:ascii="宋体" w:cs="宋体"/>
          <w:color w:val="auto"/>
          <w:sz w:val="24"/>
          <w:szCs w:val="24"/>
        </w:rPr>
        <w:t>（本格式编排在招标文件中，供投标人参考，投标时不需附此表）</w:t>
      </w:r>
    </w:p>
    <w:p>
      <w:pPr>
        <w:widowControl/>
        <w:jc w:val="center"/>
        <w:rPr>
          <w:rFonts w:ascii="宋体" w:cs="Times New Roman"/>
          <w:color w:val="auto"/>
          <w:sz w:val="24"/>
          <w:szCs w:val="24"/>
        </w:rPr>
      </w:pPr>
    </w:p>
    <w:p>
      <w:pPr>
        <w:autoSpaceDE w:val="0"/>
        <w:autoSpaceDN w:val="0"/>
        <w:snapToGrid w:val="0"/>
        <w:spacing w:line="360" w:lineRule="auto"/>
        <w:ind w:firstLine="480"/>
        <w:jc w:val="left"/>
        <w:rPr>
          <w:rFonts w:ascii="宋体" w:cs="Times New Roman"/>
          <w:color w:val="auto"/>
          <w:sz w:val="24"/>
          <w:szCs w:val="24"/>
        </w:rPr>
      </w:pPr>
      <w:r>
        <w:rPr>
          <w:rFonts w:hint="eastAsia" w:cs="宋体"/>
          <w:color w:val="auto"/>
          <w:sz w:val="24"/>
          <w:szCs w:val="24"/>
        </w:rPr>
        <w:t>（发包人名称，</w:t>
      </w:r>
      <w:r>
        <w:rPr>
          <w:rFonts w:hint="eastAsia" w:ascii="宋体" w:cs="宋体"/>
          <w:color w:val="auto"/>
          <w:sz w:val="24"/>
          <w:szCs w:val="24"/>
        </w:rPr>
        <w:t>以下简称</w:t>
      </w:r>
      <w:r>
        <w:rPr>
          <w:rFonts w:hint="eastAsia" w:cs="宋体"/>
          <w:color w:val="auto"/>
          <w:sz w:val="24"/>
          <w:szCs w:val="24"/>
        </w:rPr>
        <w:t>“</w:t>
      </w:r>
      <w:r>
        <w:rPr>
          <w:rFonts w:hint="eastAsia" w:ascii="宋体" w:cs="宋体"/>
          <w:color w:val="auto"/>
          <w:sz w:val="24"/>
          <w:szCs w:val="24"/>
        </w:rPr>
        <w:t>发包人</w:t>
      </w:r>
      <w:r>
        <w:rPr>
          <w:rFonts w:hint="eastAsia" w:cs="宋体"/>
          <w:color w:val="auto"/>
          <w:sz w:val="24"/>
          <w:szCs w:val="24"/>
        </w:rPr>
        <w:t>”）为实施</w:t>
      </w:r>
      <w:r>
        <w:rPr>
          <w:rFonts w:hint="eastAsia" w:ascii="宋体" w:cs="宋体"/>
          <w:color w:val="auto"/>
          <w:sz w:val="24"/>
          <w:szCs w:val="24"/>
        </w:rPr>
        <w:t>（项目名称），已接受</w:t>
      </w:r>
      <w:r>
        <w:rPr>
          <w:rFonts w:hint="eastAsia" w:cs="宋体"/>
          <w:color w:val="auto"/>
          <w:sz w:val="24"/>
          <w:szCs w:val="24"/>
        </w:rPr>
        <w:t>（勘察人名称，</w:t>
      </w:r>
      <w:r>
        <w:rPr>
          <w:rFonts w:hint="eastAsia" w:ascii="宋体" w:cs="宋体"/>
          <w:color w:val="auto"/>
          <w:sz w:val="24"/>
          <w:szCs w:val="24"/>
        </w:rPr>
        <w:t>以下简称</w:t>
      </w:r>
      <w:r>
        <w:rPr>
          <w:rFonts w:hint="eastAsia" w:cs="宋体"/>
          <w:color w:val="auto"/>
          <w:sz w:val="24"/>
          <w:szCs w:val="24"/>
        </w:rPr>
        <w:t>“</w:t>
      </w:r>
      <w:r>
        <w:rPr>
          <w:rFonts w:hint="eastAsia" w:ascii="宋体" w:cs="宋体"/>
          <w:color w:val="auto"/>
          <w:sz w:val="24"/>
          <w:szCs w:val="24"/>
        </w:rPr>
        <w:t>勘察人</w:t>
      </w:r>
      <w:r>
        <w:rPr>
          <w:rFonts w:hint="eastAsia" w:cs="宋体"/>
          <w:color w:val="auto"/>
          <w:sz w:val="24"/>
          <w:szCs w:val="24"/>
        </w:rPr>
        <w:t>”）对该项目标段勘察的投标。发包人和勘察人共同达成如下协议。</w:t>
      </w:r>
    </w:p>
    <w:p>
      <w:pPr>
        <w:autoSpaceDE w:val="0"/>
        <w:autoSpaceDN w:val="0"/>
        <w:snapToGrid w:val="0"/>
        <w:spacing w:line="360" w:lineRule="auto"/>
        <w:ind w:firstLine="480"/>
        <w:jc w:val="left"/>
        <w:rPr>
          <w:rFonts w:ascii="宋体" w:cs="Times New Roman"/>
          <w:color w:val="auto"/>
          <w:sz w:val="24"/>
          <w:szCs w:val="24"/>
        </w:rPr>
      </w:pPr>
      <w:r>
        <w:rPr>
          <w:rFonts w:ascii="宋体" w:cs="宋体"/>
          <w:color w:val="auto"/>
          <w:sz w:val="24"/>
          <w:szCs w:val="24"/>
        </w:rPr>
        <w:t>1.</w:t>
      </w:r>
      <w:r>
        <w:rPr>
          <w:rFonts w:hint="eastAsia" w:ascii="宋体" w:cs="宋体"/>
          <w:color w:val="auto"/>
          <w:sz w:val="24"/>
          <w:szCs w:val="24"/>
        </w:rPr>
        <w:t>第标段由</w:t>
      </w:r>
      <w:r>
        <w:rPr>
          <w:color w:val="auto"/>
          <w:sz w:val="24"/>
          <w:szCs w:val="24"/>
        </w:rPr>
        <w:t>K</w:t>
      </w:r>
      <w:r>
        <w:rPr>
          <w:rFonts w:hint="eastAsia" w:ascii="宋体" w:cs="宋体"/>
          <w:color w:val="auto"/>
          <w:sz w:val="24"/>
          <w:szCs w:val="24"/>
        </w:rPr>
        <w:t>＋至</w:t>
      </w:r>
      <w:r>
        <w:rPr>
          <w:color w:val="auto"/>
          <w:sz w:val="24"/>
          <w:szCs w:val="24"/>
        </w:rPr>
        <w:t>K</w:t>
      </w:r>
      <w:r>
        <w:rPr>
          <w:rFonts w:hint="eastAsia" w:ascii="宋体" w:cs="宋体"/>
          <w:color w:val="auto"/>
          <w:sz w:val="24"/>
          <w:szCs w:val="24"/>
        </w:rPr>
        <w:t>＋，长约</w:t>
      </w:r>
      <w:r>
        <w:rPr>
          <w:color w:val="auto"/>
          <w:sz w:val="24"/>
          <w:szCs w:val="24"/>
        </w:rPr>
        <w:t>km</w:t>
      </w:r>
      <w:r>
        <w:rPr>
          <w:rFonts w:hint="eastAsia" w:ascii="宋体" w:cs="宋体"/>
          <w:color w:val="auto"/>
          <w:sz w:val="24"/>
          <w:szCs w:val="24"/>
        </w:rPr>
        <w:t>，公路等级为，设计时速为，路面，有立交处；特大桥座，计长</w:t>
      </w:r>
      <w:r>
        <w:rPr>
          <w:color w:val="auto"/>
          <w:sz w:val="24"/>
          <w:szCs w:val="24"/>
        </w:rPr>
        <w:t>m</w:t>
      </w:r>
      <w:r>
        <w:rPr>
          <w:rFonts w:hint="eastAsia" w:ascii="宋体" w:cs="宋体"/>
          <w:color w:val="auto"/>
          <w:sz w:val="24"/>
          <w:szCs w:val="24"/>
        </w:rPr>
        <w:t>；大中桥座，计长</w:t>
      </w:r>
      <w:r>
        <w:rPr>
          <w:color w:val="auto"/>
          <w:sz w:val="24"/>
          <w:szCs w:val="24"/>
        </w:rPr>
        <w:t>m</w:t>
      </w:r>
      <w:r>
        <w:rPr>
          <w:rFonts w:hint="eastAsia" w:ascii="宋体" w:cs="宋体"/>
          <w:color w:val="auto"/>
          <w:sz w:val="24"/>
          <w:szCs w:val="24"/>
        </w:rPr>
        <w:t>；隧道座，计长</w:t>
      </w:r>
      <w:r>
        <w:rPr>
          <w:color w:val="auto"/>
          <w:sz w:val="24"/>
          <w:szCs w:val="24"/>
        </w:rPr>
        <w:t>m</w:t>
      </w:r>
      <w:r>
        <w:rPr>
          <w:rFonts w:hint="eastAsia" w:ascii="宋体" w:cs="宋体"/>
          <w:color w:val="auto"/>
          <w:sz w:val="24"/>
          <w:szCs w:val="24"/>
        </w:rPr>
        <w:t>以及其他构造物工程等。</w:t>
      </w:r>
    </w:p>
    <w:p>
      <w:pPr>
        <w:autoSpaceDE w:val="0"/>
        <w:autoSpaceDN w:val="0"/>
        <w:snapToGrid w:val="0"/>
        <w:spacing w:line="360" w:lineRule="auto"/>
        <w:ind w:firstLine="480"/>
        <w:jc w:val="left"/>
        <w:rPr>
          <w:rFonts w:ascii="宋体" w:cs="Times New Roman"/>
          <w:color w:val="auto"/>
          <w:sz w:val="24"/>
          <w:szCs w:val="24"/>
          <w:u w:val="single"/>
        </w:rPr>
      </w:pPr>
      <w:r>
        <w:rPr>
          <w:rFonts w:ascii="宋体" w:cs="宋体"/>
          <w:color w:val="auto"/>
          <w:sz w:val="24"/>
          <w:szCs w:val="24"/>
        </w:rPr>
        <w:t>2.</w:t>
      </w:r>
      <w:r>
        <w:rPr>
          <w:rFonts w:hint="eastAsia" w:ascii="宋体" w:cs="宋体"/>
          <w:color w:val="auto"/>
          <w:sz w:val="24"/>
          <w:szCs w:val="24"/>
        </w:rPr>
        <w:t>下列文件应视为构成合同文件的组成部分：</w:t>
      </w:r>
    </w:p>
    <w:p>
      <w:pPr>
        <w:autoSpaceDE w:val="0"/>
        <w:autoSpaceDN w:val="0"/>
        <w:snapToGrid w:val="0"/>
        <w:spacing w:line="360" w:lineRule="auto"/>
        <w:ind w:firstLine="480"/>
        <w:jc w:val="left"/>
        <w:rPr>
          <w:rFonts w:ascii="宋体" w:cs="宋体"/>
          <w:color w:val="auto"/>
          <w:sz w:val="24"/>
          <w:szCs w:val="24"/>
        </w:rPr>
      </w:pPr>
      <w:r>
        <w:rPr>
          <w:rFonts w:hint="eastAsia" w:ascii="宋体" w:cs="宋体"/>
          <w:color w:val="auto"/>
          <w:sz w:val="24"/>
          <w:szCs w:val="24"/>
        </w:rPr>
        <w:t>（</w:t>
      </w:r>
      <w:r>
        <w:rPr>
          <w:color w:val="auto"/>
          <w:sz w:val="24"/>
          <w:szCs w:val="24"/>
        </w:rPr>
        <w:t>1</w:t>
      </w:r>
      <w:r>
        <w:rPr>
          <w:rFonts w:hint="eastAsia" w:ascii="宋体" w:cs="宋体"/>
          <w:color w:val="auto"/>
          <w:sz w:val="24"/>
          <w:szCs w:val="24"/>
        </w:rPr>
        <w:t>）本合同协议书及各种合同附件（含评标期间和合同谈判过程中的澄清文件和补充资料；勘察人提交的经发包人审核通过的勘察详细工作大纲及进度计划、专题研究详细工作大纲等）；</w:t>
      </w:r>
    </w:p>
    <w:p>
      <w:pPr>
        <w:autoSpaceDE w:val="0"/>
        <w:autoSpaceDN w:val="0"/>
        <w:snapToGrid w:val="0"/>
        <w:spacing w:line="360" w:lineRule="auto"/>
        <w:ind w:firstLine="480"/>
        <w:jc w:val="left"/>
        <w:rPr>
          <w:rFonts w:ascii="宋体" w:cs="宋体"/>
          <w:color w:val="auto"/>
          <w:sz w:val="24"/>
          <w:szCs w:val="24"/>
        </w:rPr>
      </w:pPr>
      <w:r>
        <w:rPr>
          <w:rFonts w:hint="eastAsia" w:ascii="宋体" w:cs="宋体"/>
          <w:color w:val="auto"/>
          <w:sz w:val="24"/>
          <w:szCs w:val="24"/>
        </w:rPr>
        <w:t>（</w:t>
      </w:r>
      <w:r>
        <w:rPr>
          <w:color w:val="auto"/>
          <w:sz w:val="24"/>
          <w:szCs w:val="24"/>
        </w:rPr>
        <w:t>2</w:t>
      </w:r>
      <w:r>
        <w:rPr>
          <w:rFonts w:hint="eastAsia" w:ascii="宋体" w:cs="宋体"/>
          <w:color w:val="auto"/>
          <w:sz w:val="24"/>
          <w:szCs w:val="24"/>
        </w:rPr>
        <w:t>）中标通知书；</w:t>
      </w:r>
    </w:p>
    <w:p>
      <w:pPr>
        <w:autoSpaceDE w:val="0"/>
        <w:autoSpaceDN w:val="0"/>
        <w:snapToGrid w:val="0"/>
        <w:spacing w:line="360" w:lineRule="auto"/>
        <w:ind w:firstLine="480"/>
        <w:jc w:val="left"/>
        <w:rPr>
          <w:rFonts w:ascii="宋体" w:cs="宋体"/>
          <w:color w:val="auto"/>
          <w:sz w:val="24"/>
          <w:szCs w:val="24"/>
        </w:rPr>
      </w:pPr>
      <w:r>
        <w:rPr>
          <w:rFonts w:hint="eastAsia" w:ascii="宋体" w:cs="宋体"/>
          <w:color w:val="auto"/>
          <w:sz w:val="24"/>
          <w:szCs w:val="24"/>
        </w:rPr>
        <w:t>（</w:t>
      </w:r>
      <w:r>
        <w:rPr>
          <w:color w:val="auto"/>
          <w:sz w:val="24"/>
          <w:szCs w:val="24"/>
        </w:rPr>
        <w:t>3</w:t>
      </w:r>
      <w:r>
        <w:rPr>
          <w:rFonts w:hint="eastAsia" w:ascii="宋体" w:cs="宋体"/>
          <w:color w:val="auto"/>
          <w:sz w:val="24"/>
          <w:szCs w:val="24"/>
        </w:rPr>
        <w:t>）投标函；</w:t>
      </w:r>
    </w:p>
    <w:p>
      <w:pPr>
        <w:autoSpaceDE w:val="0"/>
        <w:autoSpaceDN w:val="0"/>
        <w:snapToGrid w:val="0"/>
        <w:spacing w:line="360" w:lineRule="auto"/>
        <w:ind w:firstLine="480"/>
        <w:jc w:val="left"/>
        <w:rPr>
          <w:rFonts w:ascii="宋体" w:cs="宋体"/>
          <w:color w:val="auto"/>
          <w:sz w:val="24"/>
          <w:szCs w:val="24"/>
        </w:rPr>
      </w:pPr>
      <w:r>
        <w:rPr>
          <w:rFonts w:hint="eastAsia" w:ascii="宋体" w:cs="宋体"/>
          <w:color w:val="auto"/>
          <w:sz w:val="24"/>
          <w:szCs w:val="24"/>
        </w:rPr>
        <w:t>（</w:t>
      </w:r>
      <w:r>
        <w:rPr>
          <w:color w:val="auto"/>
          <w:sz w:val="24"/>
          <w:szCs w:val="24"/>
        </w:rPr>
        <w:t>4</w:t>
      </w:r>
      <w:r>
        <w:rPr>
          <w:rFonts w:hint="eastAsia" w:ascii="宋体" w:cs="宋体"/>
          <w:color w:val="auto"/>
          <w:sz w:val="24"/>
          <w:szCs w:val="24"/>
        </w:rPr>
        <w:t>）专用合同条款；</w:t>
      </w:r>
    </w:p>
    <w:p>
      <w:pPr>
        <w:autoSpaceDE w:val="0"/>
        <w:autoSpaceDN w:val="0"/>
        <w:snapToGrid w:val="0"/>
        <w:spacing w:line="360" w:lineRule="auto"/>
        <w:ind w:firstLine="480"/>
        <w:jc w:val="left"/>
        <w:rPr>
          <w:rFonts w:ascii="宋体" w:cs="宋体"/>
          <w:color w:val="auto"/>
          <w:sz w:val="24"/>
          <w:szCs w:val="24"/>
        </w:rPr>
      </w:pPr>
      <w:r>
        <w:rPr>
          <w:rFonts w:hint="eastAsia" w:ascii="宋体" w:cs="宋体"/>
          <w:color w:val="auto"/>
          <w:sz w:val="24"/>
          <w:szCs w:val="24"/>
        </w:rPr>
        <w:t>（</w:t>
      </w:r>
      <w:r>
        <w:rPr>
          <w:color w:val="auto"/>
          <w:sz w:val="24"/>
          <w:szCs w:val="24"/>
        </w:rPr>
        <w:t>5</w:t>
      </w:r>
      <w:r>
        <w:rPr>
          <w:rFonts w:hint="eastAsia" w:ascii="宋体" w:cs="宋体"/>
          <w:color w:val="auto"/>
          <w:sz w:val="24"/>
          <w:szCs w:val="24"/>
        </w:rPr>
        <w:t>）通用合同条款；</w:t>
      </w:r>
    </w:p>
    <w:p>
      <w:pPr>
        <w:autoSpaceDE w:val="0"/>
        <w:autoSpaceDN w:val="0"/>
        <w:snapToGrid w:val="0"/>
        <w:spacing w:line="360" w:lineRule="auto"/>
        <w:ind w:firstLine="480"/>
        <w:jc w:val="left"/>
        <w:rPr>
          <w:rFonts w:ascii="宋体" w:cs="宋体"/>
          <w:color w:val="auto"/>
          <w:sz w:val="24"/>
          <w:szCs w:val="24"/>
        </w:rPr>
      </w:pPr>
      <w:r>
        <w:rPr>
          <w:rFonts w:hint="eastAsia" w:ascii="宋体" w:cs="宋体"/>
          <w:color w:val="auto"/>
          <w:sz w:val="24"/>
          <w:szCs w:val="24"/>
        </w:rPr>
        <w:t>（</w:t>
      </w:r>
      <w:r>
        <w:rPr>
          <w:color w:val="auto"/>
          <w:sz w:val="24"/>
          <w:szCs w:val="24"/>
        </w:rPr>
        <w:t>6</w:t>
      </w:r>
      <w:r>
        <w:rPr>
          <w:rFonts w:hint="eastAsia" w:ascii="宋体" w:cs="宋体"/>
          <w:color w:val="auto"/>
          <w:sz w:val="24"/>
          <w:szCs w:val="24"/>
        </w:rPr>
        <w:t>）发包人要求；</w:t>
      </w:r>
    </w:p>
    <w:p>
      <w:pPr>
        <w:autoSpaceDE w:val="0"/>
        <w:autoSpaceDN w:val="0"/>
        <w:snapToGrid w:val="0"/>
        <w:spacing w:line="360" w:lineRule="auto"/>
        <w:ind w:firstLine="480"/>
        <w:jc w:val="left"/>
        <w:rPr>
          <w:rFonts w:ascii="宋体" w:cs="宋体"/>
          <w:color w:val="auto"/>
          <w:sz w:val="24"/>
          <w:szCs w:val="24"/>
        </w:rPr>
      </w:pPr>
      <w:r>
        <w:rPr>
          <w:rFonts w:hint="eastAsia" w:ascii="宋体" w:cs="宋体"/>
          <w:color w:val="auto"/>
          <w:sz w:val="24"/>
          <w:szCs w:val="24"/>
        </w:rPr>
        <w:t>（</w:t>
      </w:r>
      <w:r>
        <w:rPr>
          <w:color w:val="auto"/>
          <w:sz w:val="24"/>
          <w:szCs w:val="24"/>
        </w:rPr>
        <w:t>7</w:t>
      </w:r>
      <w:r>
        <w:rPr>
          <w:rFonts w:hint="eastAsia" w:ascii="宋体" w:cs="宋体"/>
          <w:color w:val="auto"/>
          <w:sz w:val="24"/>
          <w:szCs w:val="24"/>
        </w:rPr>
        <w:t>）勘察费用清单；</w:t>
      </w:r>
    </w:p>
    <w:p>
      <w:pPr>
        <w:autoSpaceDE w:val="0"/>
        <w:autoSpaceDN w:val="0"/>
        <w:snapToGrid w:val="0"/>
        <w:spacing w:line="360" w:lineRule="auto"/>
        <w:ind w:firstLine="480"/>
        <w:jc w:val="left"/>
        <w:rPr>
          <w:rFonts w:ascii="宋体" w:cs="宋体"/>
          <w:color w:val="auto"/>
          <w:sz w:val="24"/>
          <w:szCs w:val="24"/>
        </w:rPr>
      </w:pPr>
      <w:r>
        <w:rPr>
          <w:rFonts w:hint="eastAsia" w:ascii="宋体" w:cs="宋体"/>
          <w:color w:val="auto"/>
          <w:sz w:val="24"/>
          <w:szCs w:val="24"/>
        </w:rPr>
        <w:t>（</w:t>
      </w:r>
      <w:r>
        <w:rPr>
          <w:color w:val="auto"/>
          <w:sz w:val="24"/>
          <w:szCs w:val="24"/>
        </w:rPr>
        <w:t>8</w:t>
      </w:r>
      <w:r>
        <w:rPr>
          <w:rFonts w:hint="eastAsia" w:ascii="宋体" w:cs="宋体"/>
          <w:color w:val="auto"/>
          <w:sz w:val="24"/>
          <w:szCs w:val="24"/>
        </w:rPr>
        <w:t>）勘察人有关人员投入的承诺；</w:t>
      </w:r>
    </w:p>
    <w:p>
      <w:pPr>
        <w:autoSpaceDE w:val="0"/>
        <w:autoSpaceDN w:val="0"/>
        <w:snapToGrid w:val="0"/>
        <w:spacing w:line="360" w:lineRule="auto"/>
        <w:ind w:firstLine="480"/>
        <w:jc w:val="left"/>
        <w:rPr>
          <w:rFonts w:ascii="宋体" w:cs="宋体"/>
          <w:color w:val="auto"/>
          <w:sz w:val="24"/>
          <w:szCs w:val="24"/>
        </w:rPr>
      </w:pPr>
      <w:r>
        <w:rPr>
          <w:rFonts w:hint="eastAsia" w:ascii="宋体" w:cs="宋体"/>
          <w:color w:val="auto"/>
          <w:sz w:val="24"/>
          <w:szCs w:val="24"/>
        </w:rPr>
        <w:t>（</w:t>
      </w:r>
      <w:r>
        <w:rPr>
          <w:color w:val="auto"/>
          <w:sz w:val="24"/>
          <w:szCs w:val="24"/>
        </w:rPr>
        <w:t>9</w:t>
      </w:r>
      <w:r>
        <w:rPr>
          <w:rFonts w:hint="eastAsia" w:ascii="宋体" w:cs="宋体"/>
          <w:color w:val="auto"/>
          <w:sz w:val="24"/>
          <w:szCs w:val="24"/>
        </w:rPr>
        <w:t>）其他合同文件。</w:t>
      </w:r>
    </w:p>
    <w:p>
      <w:pPr>
        <w:autoSpaceDE w:val="0"/>
        <w:autoSpaceDN w:val="0"/>
        <w:snapToGrid w:val="0"/>
        <w:spacing w:line="360" w:lineRule="auto"/>
        <w:ind w:firstLine="600"/>
        <w:jc w:val="left"/>
        <w:rPr>
          <w:rFonts w:ascii="Times New Roman" w:cs="Times New Roman"/>
          <w:color w:val="auto"/>
          <w:sz w:val="24"/>
          <w:szCs w:val="24"/>
        </w:rPr>
      </w:pPr>
      <w:r>
        <w:rPr>
          <w:rFonts w:hint="eastAsia" w:cs="宋体"/>
          <w:color w:val="auto"/>
          <w:sz w:val="24"/>
          <w:szCs w:val="24"/>
        </w:rPr>
        <w:t>上述合同文件互相补充和解释，如果合同文件之间存在矛盾或不一致之处，以上述文件的排列顺序在先者为准。</w:t>
      </w:r>
    </w:p>
    <w:p>
      <w:pPr>
        <w:autoSpaceDE w:val="0"/>
        <w:autoSpaceDN w:val="0"/>
        <w:snapToGrid w:val="0"/>
        <w:spacing w:line="360" w:lineRule="auto"/>
        <w:ind w:firstLine="480"/>
        <w:jc w:val="left"/>
        <w:rPr>
          <w:rFonts w:ascii="宋体" w:cs="宋体"/>
          <w:color w:val="auto"/>
          <w:sz w:val="24"/>
          <w:szCs w:val="24"/>
        </w:rPr>
      </w:pPr>
      <w:r>
        <w:rPr>
          <w:color w:val="auto"/>
          <w:sz w:val="24"/>
          <w:szCs w:val="24"/>
        </w:rPr>
        <w:t>3.</w:t>
      </w:r>
      <w:r>
        <w:rPr>
          <w:rFonts w:hint="eastAsia" w:ascii="宋体" w:cs="宋体"/>
          <w:color w:val="auto"/>
          <w:sz w:val="24"/>
          <w:szCs w:val="24"/>
        </w:rPr>
        <w:t>签约合同价：人民币（大写）元（</w:t>
      </w:r>
      <w:r>
        <w:rPr>
          <w:rFonts w:ascii="宋体"/>
          <w:color w:val="auto"/>
          <w:sz w:val="24"/>
          <w:szCs w:val="24"/>
        </w:rPr>
        <w:t>¥</w:t>
      </w:r>
      <w:r>
        <w:rPr>
          <w:rFonts w:hint="eastAsia" w:ascii="宋体" w:cs="宋体"/>
          <w:color w:val="auto"/>
          <w:sz w:val="24"/>
          <w:szCs w:val="24"/>
        </w:rPr>
        <w:t>）。</w:t>
      </w:r>
    </w:p>
    <w:p>
      <w:pPr>
        <w:autoSpaceDE w:val="0"/>
        <w:autoSpaceDN w:val="0"/>
        <w:snapToGrid w:val="0"/>
        <w:spacing w:line="360" w:lineRule="auto"/>
        <w:ind w:firstLine="480"/>
        <w:jc w:val="left"/>
        <w:rPr>
          <w:rFonts w:ascii="宋体" w:cs="宋体"/>
          <w:color w:val="auto"/>
          <w:sz w:val="24"/>
          <w:szCs w:val="24"/>
        </w:rPr>
      </w:pPr>
      <w:r>
        <w:rPr>
          <w:color w:val="auto"/>
          <w:sz w:val="24"/>
          <w:szCs w:val="24"/>
        </w:rPr>
        <w:t>4.</w:t>
      </w:r>
      <w:r>
        <w:rPr>
          <w:rFonts w:hint="eastAsia" w:ascii="宋体" w:cs="宋体"/>
          <w:color w:val="auto"/>
          <w:sz w:val="24"/>
          <w:szCs w:val="24"/>
        </w:rPr>
        <w:t>项目负责人：。</w:t>
      </w:r>
    </w:p>
    <w:p>
      <w:pPr>
        <w:autoSpaceDE w:val="0"/>
        <w:autoSpaceDN w:val="0"/>
        <w:snapToGrid w:val="0"/>
        <w:spacing w:line="360" w:lineRule="auto"/>
        <w:ind w:firstLine="480"/>
        <w:jc w:val="left"/>
        <w:rPr>
          <w:rFonts w:ascii="宋体" w:cs="Times New Roman"/>
          <w:color w:val="auto"/>
          <w:sz w:val="24"/>
          <w:szCs w:val="24"/>
        </w:rPr>
      </w:pPr>
      <w:r>
        <w:rPr>
          <w:color w:val="auto"/>
          <w:sz w:val="24"/>
          <w:szCs w:val="24"/>
        </w:rPr>
        <w:t>5.</w:t>
      </w:r>
      <w:r>
        <w:rPr>
          <w:rFonts w:hint="eastAsia" w:ascii="宋体" w:cs="宋体"/>
          <w:color w:val="auto"/>
          <w:sz w:val="24"/>
          <w:szCs w:val="24"/>
        </w:rPr>
        <w:t>勘察工作质量符合的标准和要求：；安全目标：。</w:t>
      </w:r>
    </w:p>
    <w:p>
      <w:pPr>
        <w:autoSpaceDE w:val="0"/>
        <w:autoSpaceDN w:val="0"/>
        <w:snapToGrid w:val="0"/>
        <w:spacing w:line="360" w:lineRule="auto"/>
        <w:ind w:firstLine="480"/>
        <w:jc w:val="left"/>
        <w:rPr>
          <w:rFonts w:ascii="宋体" w:cs="Times New Roman"/>
          <w:color w:val="auto"/>
          <w:sz w:val="24"/>
          <w:szCs w:val="24"/>
          <w:lang w:val="zh-TW" w:eastAsia="zh-TW"/>
        </w:rPr>
      </w:pPr>
      <w:r>
        <w:rPr>
          <w:rFonts w:ascii="宋体" w:cs="宋体"/>
          <w:color w:val="auto"/>
          <w:sz w:val="24"/>
          <w:szCs w:val="24"/>
        </w:rPr>
        <w:t>6.</w:t>
      </w:r>
      <w:r>
        <w:rPr>
          <w:rFonts w:hint="eastAsia" w:ascii="宋体" w:cs="宋体"/>
          <w:color w:val="auto"/>
          <w:sz w:val="24"/>
          <w:szCs w:val="24"/>
        </w:rPr>
        <w:t>勘察</w:t>
      </w:r>
      <w:r>
        <w:rPr>
          <w:rFonts w:hint="eastAsia" w:ascii="宋体" w:cs="宋体"/>
          <w:color w:val="auto"/>
          <w:sz w:val="24"/>
          <w:szCs w:val="24"/>
          <w:lang w:val="zh-TW"/>
        </w:rPr>
        <w:t>人承诺按合同约定承担工程的勘察工作，包括</w:t>
      </w:r>
      <w:r>
        <w:rPr>
          <w:rFonts w:hint="eastAsia" w:ascii="宋体" w:cs="宋体"/>
          <w:color w:val="auto"/>
          <w:sz w:val="24"/>
          <w:szCs w:val="24"/>
        </w:rPr>
        <w:t>。</w:t>
      </w:r>
    </w:p>
    <w:p>
      <w:pPr>
        <w:autoSpaceDE w:val="0"/>
        <w:autoSpaceDN w:val="0"/>
        <w:snapToGrid w:val="0"/>
        <w:spacing w:line="360" w:lineRule="auto"/>
        <w:ind w:firstLine="480"/>
        <w:jc w:val="left"/>
        <w:rPr>
          <w:rFonts w:ascii="宋体" w:cs="Times New Roman"/>
          <w:color w:val="auto"/>
          <w:sz w:val="24"/>
          <w:szCs w:val="24"/>
          <w:lang w:val="zh-TW" w:eastAsia="zh-TW"/>
        </w:rPr>
      </w:pPr>
      <w:r>
        <w:rPr>
          <w:rFonts w:ascii="宋体" w:cs="宋体"/>
          <w:color w:val="auto"/>
          <w:sz w:val="24"/>
          <w:szCs w:val="24"/>
        </w:rPr>
        <w:t>7.</w:t>
      </w:r>
      <w:r>
        <w:rPr>
          <w:rFonts w:hint="eastAsia" w:ascii="宋体" w:cs="宋体"/>
          <w:color w:val="auto"/>
          <w:sz w:val="24"/>
          <w:szCs w:val="24"/>
          <w:lang w:val="zh-TW"/>
        </w:rPr>
        <w:t>发包人承诺按合同约定的条件、时间和方式向勘察人支付合同价款。</w:t>
      </w:r>
    </w:p>
    <w:p>
      <w:pPr>
        <w:autoSpaceDE w:val="0"/>
        <w:autoSpaceDN w:val="0"/>
        <w:snapToGrid w:val="0"/>
        <w:spacing w:line="360" w:lineRule="auto"/>
        <w:ind w:firstLine="480"/>
        <w:jc w:val="left"/>
        <w:rPr>
          <w:rFonts w:ascii="宋体" w:cs="Times New Roman"/>
          <w:color w:val="auto"/>
          <w:sz w:val="24"/>
          <w:szCs w:val="24"/>
        </w:rPr>
      </w:pPr>
      <w:r>
        <w:rPr>
          <w:rFonts w:ascii="宋体" w:cs="宋体"/>
          <w:color w:val="auto"/>
          <w:sz w:val="24"/>
          <w:szCs w:val="24"/>
        </w:rPr>
        <w:t>8.</w:t>
      </w:r>
      <w:r>
        <w:rPr>
          <w:rFonts w:hint="eastAsia" w:ascii="宋体" w:cs="宋体"/>
          <w:color w:val="auto"/>
          <w:sz w:val="24"/>
          <w:szCs w:val="24"/>
        </w:rPr>
        <w:t>勘察</w:t>
      </w:r>
      <w:r>
        <w:rPr>
          <w:rFonts w:hint="eastAsia" w:ascii="宋体" w:cs="宋体"/>
          <w:color w:val="auto"/>
          <w:sz w:val="24"/>
          <w:szCs w:val="24"/>
          <w:lang w:val="zh-TW"/>
        </w:rPr>
        <w:t>人计划开始勘察日期：，实际日期按照发包人在开始勘察通知中载明的开始勘察日期为准。勘察服务期限为天。</w:t>
      </w:r>
    </w:p>
    <w:p>
      <w:pPr>
        <w:autoSpaceDE w:val="0"/>
        <w:autoSpaceDN w:val="0"/>
        <w:snapToGrid w:val="0"/>
        <w:spacing w:line="360" w:lineRule="auto"/>
        <w:ind w:firstLine="480"/>
        <w:jc w:val="left"/>
        <w:rPr>
          <w:rFonts w:ascii="宋体" w:cs="Times New Roman"/>
          <w:color w:val="auto"/>
          <w:sz w:val="24"/>
          <w:szCs w:val="24"/>
          <w:lang w:val="zh-TW" w:eastAsia="zh-TW"/>
        </w:rPr>
      </w:pPr>
      <w:r>
        <w:rPr>
          <w:rFonts w:ascii="宋体" w:cs="宋体"/>
          <w:color w:val="auto"/>
          <w:sz w:val="24"/>
          <w:szCs w:val="24"/>
        </w:rPr>
        <w:t>9.</w:t>
      </w:r>
      <w:r>
        <w:rPr>
          <w:rFonts w:hint="eastAsia" w:ascii="宋体" w:cs="宋体"/>
          <w:color w:val="auto"/>
          <w:sz w:val="24"/>
          <w:szCs w:val="24"/>
          <w:lang w:val="zh-TW"/>
        </w:rPr>
        <w:t>本协议书在勘察人提供履约保证金后，由双方法定代表人或其委托代理人签署并加盖单位章后生效。勘察人完成全部勘察工作且勘察费用结清后失效。</w:t>
      </w:r>
    </w:p>
    <w:p>
      <w:pPr>
        <w:autoSpaceDE w:val="0"/>
        <w:autoSpaceDN w:val="0"/>
        <w:snapToGrid w:val="0"/>
        <w:spacing w:line="360" w:lineRule="auto"/>
        <w:ind w:firstLine="480"/>
        <w:jc w:val="left"/>
        <w:rPr>
          <w:rFonts w:ascii="宋体" w:cs="Times New Roman"/>
          <w:color w:val="auto"/>
          <w:sz w:val="24"/>
          <w:szCs w:val="24"/>
          <w:lang w:val="zh-TW" w:eastAsia="zh-TW"/>
        </w:rPr>
      </w:pPr>
      <w:r>
        <w:rPr>
          <w:rFonts w:ascii="宋体" w:cs="宋体"/>
          <w:color w:val="auto"/>
          <w:sz w:val="24"/>
          <w:szCs w:val="24"/>
        </w:rPr>
        <w:t>10.</w:t>
      </w:r>
      <w:r>
        <w:rPr>
          <w:rFonts w:hint="eastAsia" w:ascii="宋体" w:cs="宋体"/>
          <w:color w:val="auto"/>
          <w:sz w:val="24"/>
          <w:szCs w:val="24"/>
          <w:lang w:val="zh-TW"/>
        </w:rPr>
        <w:t>本协议书正本二份、副本份，合同双方各执正本一份，副本份，当正本与副本的内容不一致时，以正本为准。</w:t>
      </w:r>
    </w:p>
    <w:p>
      <w:pPr>
        <w:autoSpaceDE w:val="0"/>
        <w:autoSpaceDN w:val="0"/>
        <w:snapToGrid w:val="0"/>
        <w:spacing w:line="360" w:lineRule="auto"/>
        <w:ind w:firstLine="480"/>
        <w:jc w:val="left"/>
        <w:rPr>
          <w:rFonts w:ascii="宋体" w:cs="Times New Roman"/>
          <w:color w:val="auto"/>
          <w:sz w:val="24"/>
          <w:szCs w:val="24"/>
          <w:lang w:val="zh-TW" w:eastAsia="zh-TW"/>
        </w:rPr>
      </w:pPr>
      <w:r>
        <w:rPr>
          <w:rFonts w:ascii="宋体" w:cs="宋体"/>
          <w:color w:val="auto"/>
          <w:sz w:val="24"/>
          <w:szCs w:val="24"/>
        </w:rPr>
        <w:t>11.</w:t>
      </w:r>
      <w:r>
        <w:rPr>
          <w:rFonts w:hint="eastAsia" w:ascii="宋体" w:cs="宋体"/>
          <w:color w:val="auto"/>
          <w:sz w:val="24"/>
          <w:szCs w:val="24"/>
          <w:lang w:val="zh-TW"/>
        </w:rPr>
        <w:t>合同未尽事宜，双方另行签订补充协议。补充协议是合同的组成部分。</w:t>
      </w:r>
    </w:p>
    <w:p>
      <w:pPr>
        <w:autoSpaceDE w:val="0"/>
        <w:autoSpaceDN w:val="0"/>
        <w:snapToGrid w:val="0"/>
        <w:ind w:firstLine="480"/>
        <w:jc w:val="left"/>
        <w:rPr>
          <w:rFonts w:ascii="宋体" w:cs="Times New Roman"/>
          <w:color w:val="auto"/>
          <w:sz w:val="24"/>
          <w:szCs w:val="24"/>
        </w:rPr>
      </w:pPr>
    </w:p>
    <w:p>
      <w:pPr>
        <w:autoSpaceDE w:val="0"/>
        <w:autoSpaceDN w:val="0"/>
        <w:snapToGrid w:val="0"/>
        <w:ind w:firstLine="480"/>
        <w:jc w:val="left"/>
        <w:rPr>
          <w:rFonts w:ascii="宋体" w:cs="Times New Roman"/>
          <w:color w:val="auto"/>
          <w:sz w:val="24"/>
          <w:szCs w:val="24"/>
        </w:rPr>
      </w:pPr>
    </w:p>
    <w:p>
      <w:pPr>
        <w:autoSpaceDE w:val="0"/>
        <w:autoSpaceDN w:val="0"/>
        <w:snapToGrid w:val="0"/>
        <w:spacing w:line="360" w:lineRule="auto"/>
        <w:jc w:val="left"/>
        <w:rPr>
          <w:rFonts w:ascii="宋体" w:cs="Times New Roman"/>
          <w:color w:val="auto"/>
          <w:sz w:val="24"/>
          <w:szCs w:val="24"/>
          <w:lang w:val="zh-TW" w:eastAsia="zh-TW"/>
        </w:rPr>
      </w:pPr>
      <w:r>
        <w:rPr>
          <w:rFonts w:hint="eastAsia" w:ascii="宋体" w:cs="宋体"/>
          <w:color w:val="auto"/>
          <w:sz w:val="24"/>
          <w:szCs w:val="24"/>
          <w:lang w:val="zh-TW"/>
        </w:rPr>
        <w:t>发包人</w:t>
      </w:r>
      <w:r>
        <w:rPr>
          <w:rFonts w:ascii="宋体" w:cs="宋体"/>
          <w:color w:val="auto"/>
          <w:sz w:val="24"/>
          <w:szCs w:val="24"/>
          <w:lang w:val="zh-TW" w:eastAsia="zh-TW"/>
        </w:rPr>
        <w:t>: (</w:t>
      </w:r>
      <w:r>
        <w:rPr>
          <w:rFonts w:hint="eastAsia" w:ascii="宋体" w:cs="宋体"/>
          <w:color w:val="auto"/>
          <w:sz w:val="24"/>
          <w:szCs w:val="24"/>
          <w:lang w:val="zh-TW"/>
        </w:rPr>
        <w:t>盖单位章）</w:t>
      </w:r>
      <w:r>
        <w:rPr>
          <w:rFonts w:ascii="宋体" w:cs="Times New Roman"/>
          <w:color w:val="auto"/>
          <w:sz w:val="24"/>
          <w:szCs w:val="24"/>
          <w:lang w:val="zh-TW" w:eastAsia="zh-TW"/>
        </w:rPr>
        <w:tab/>
      </w:r>
      <w:r>
        <w:rPr>
          <w:rFonts w:hint="eastAsia" w:ascii="宋体" w:cs="Times New Roman"/>
          <w:color w:val="auto"/>
          <w:sz w:val="24"/>
          <w:szCs w:val="24"/>
          <w:lang w:val="en-US" w:eastAsia="zh-CN"/>
        </w:rPr>
        <w:t xml:space="preserve">            </w:t>
      </w:r>
      <w:r>
        <w:rPr>
          <w:rFonts w:hint="eastAsia" w:ascii="宋体" w:cs="宋体"/>
          <w:color w:val="auto"/>
          <w:sz w:val="24"/>
          <w:szCs w:val="24"/>
          <w:lang w:val="zh-TW"/>
        </w:rPr>
        <w:t>勘察人：</w:t>
      </w:r>
      <w:r>
        <w:rPr>
          <w:rFonts w:ascii="宋体" w:cs="宋体"/>
          <w:color w:val="auto"/>
          <w:sz w:val="24"/>
          <w:szCs w:val="24"/>
          <w:lang w:val="zh-TW" w:eastAsia="zh-TW"/>
        </w:rPr>
        <w:t>(</w:t>
      </w:r>
      <w:r>
        <w:rPr>
          <w:rFonts w:hint="eastAsia" w:ascii="宋体" w:cs="宋体"/>
          <w:color w:val="auto"/>
          <w:sz w:val="24"/>
          <w:szCs w:val="24"/>
          <w:lang w:val="zh-TW"/>
        </w:rPr>
        <w:t>盖单位章）</w:t>
      </w:r>
    </w:p>
    <w:p>
      <w:pPr>
        <w:autoSpaceDE w:val="0"/>
        <w:autoSpaceDN w:val="0"/>
        <w:snapToGrid w:val="0"/>
        <w:spacing w:line="360" w:lineRule="auto"/>
        <w:ind w:left="360" w:hanging="360" w:hangingChars="150"/>
        <w:jc w:val="left"/>
        <w:rPr>
          <w:rFonts w:ascii="宋体" w:cs="Times New Roman"/>
          <w:color w:val="auto"/>
          <w:sz w:val="24"/>
          <w:szCs w:val="24"/>
        </w:rPr>
      </w:pPr>
      <w:r>
        <w:rPr>
          <w:rFonts w:hint="eastAsia" w:ascii="宋体" w:cs="宋体"/>
          <w:color w:val="auto"/>
          <w:sz w:val="24"/>
          <w:szCs w:val="24"/>
          <w:lang w:val="zh-TW"/>
        </w:rPr>
        <w:t>法定代表人或其委托代理人：</w:t>
      </w:r>
      <w:r>
        <w:rPr>
          <w:rFonts w:ascii="宋体" w:cs="宋体"/>
          <w:color w:val="auto"/>
          <w:sz w:val="24"/>
          <w:szCs w:val="24"/>
          <w:lang w:val="zh-TW" w:eastAsia="zh-TW"/>
        </w:rPr>
        <w:t>(</w:t>
      </w:r>
      <w:r>
        <w:rPr>
          <w:rFonts w:hint="eastAsia" w:ascii="宋体" w:cs="宋体"/>
          <w:color w:val="auto"/>
          <w:sz w:val="24"/>
          <w:szCs w:val="24"/>
          <w:lang w:val="zh-TW"/>
        </w:rPr>
        <w:t>签字</w:t>
      </w:r>
      <w:r>
        <w:rPr>
          <w:rFonts w:hint="eastAsia" w:ascii="宋体" w:cs="宋体"/>
          <w:color w:val="auto"/>
          <w:sz w:val="24"/>
          <w:szCs w:val="24"/>
        </w:rPr>
        <w:t>）</w:t>
      </w:r>
      <w:r>
        <w:rPr>
          <w:rFonts w:hint="eastAsia" w:ascii="宋体" w:cs="宋体"/>
          <w:color w:val="auto"/>
          <w:sz w:val="24"/>
          <w:szCs w:val="24"/>
          <w:lang w:val="zh-TW"/>
        </w:rPr>
        <w:t>法定代表人或其委托代理人：</w:t>
      </w:r>
      <w:r>
        <w:rPr>
          <w:rFonts w:ascii="宋体" w:cs="宋体"/>
          <w:color w:val="auto"/>
          <w:sz w:val="24"/>
          <w:szCs w:val="24"/>
          <w:lang w:val="zh-TW" w:eastAsia="zh-TW"/>
        </w:rPr>
        <w:t>(</w:t>
      </w:r>
      <w:r>
        <w:rPr>
          <w:rFonts w:hint="eastAsia" w:ascii="宋体" w:cs="宋体"/>
          <w:color w:val="auto"/>
          <w:sz w:val="24"/>
          <w:szCs w:val="24"/>
          <w:lang w:val="zh-TW"/>
        </w:rPr>
        <w:t>签字</w:t>
      </w:r>
      <w:r>
        <w:rPr>
          <w:rFonts w:hint="eastAsia" w:ascii="宋体" w:cs="宋体"/>
          <w:color w:val="auto"/>
          <w:sz w:val="24"/>
          <w:szCs w:val="24"/>
        </w:rPr>
        <w:t>）</w:t>
      </w:r>
    </w:p>
    <w:p>
      <w:pPr>
        <w:autoSpaceDE w:val="0"/>
        <w:autoSpaceDN w:val="0"/>
        <w:snapToGrid w:val="0"/>
        <w:spacing w:line="360" w:lineRule="auto"/>
        <w:ind w:left="315" w:leftChars="150" w:firstLine="480" w:firstLineChars="200"/>
        <w:jc w:val="left"/>
        <w:rPr>
          <w:rFonts w:ascii="宋体" w:cs="Times New Roman"/>
          <w:color w:val="auto"/>
          <w:sz w:val="24"/>
          <w:szCs w:val="24"/>
          <w:lang w:val="zh-TW" w:eastAsia="zh-TW"/>
        </w:rPr>
      </w:pPr>
      <w:r>
        <w:rPr>
          <w:rFonts w:hint="eastAsia" w:ascii="宋体" w:cs="宋体"/>
          <w:color w:val="auto"/>
          <w:sz w:val="24"/>
          <w:szCs w:val="24"/>
          <w:lang w:val="zh-TW"/>
        </w:rPr>
        <w:t>年月日</w:t>
      </w:r>
      <w:r>
        <w:rPr>
          <w:rFonts w:hint="eastAsia" w:ascii="宋体" w:cs="宋体"/>
          <w:color w:val="auto"/>
          <w:sz w:val="24"/>
          <w:szCs w:val="24"/>
          <w:lang w:val="en-US" w:eastAsia="zh-CN"/>
        </w:rPr>
        <w:t xml:space="preserve">                           </w:t>
      </w:r>
      <w:r>
        <w:rPr>
          <w:rFonts w:hint="eastAsia" w:ascii="宋体" w:cs="宋体"/>
          <w:color w:val="auto"/>
          <w:sz w:val="24"/>
          <w:szCs w:val="24"/>
          <w:lang w:val="zh-TW"/>
        </w:rPr>
        <w:t>年月日</w:t>
      </w:r>
    </w:p>
    <w:p>
      <w:pPr>
        <w:autoSpaceDE w:val="0"/>
        <w:autoSpaceDN w:val="0"/>
        <w:snapToGrid w:val="0"/>
        <w:ind w:firstLine="480"/>
        <w:jc w:val="left"/>
        <w:rPr>
          <w:rFonts w:ascii="Times New Roman" w:cs="Times New Roman"/>
          <w:color w:val="auto"/>
          <w:sz w:val="24"/>
          <w:szCs w:val="24"/>
          <w:lang w:eastAsia="zh-TW"/>
        </w:rPr>
      </w:pPr>
    </w:p>
    <w:p>
      <w:pPr>
        <w:pStyle w:val="50"/>
        <w:spacing w:line="360" w:lineRule="auto"/>
        <w:rPr>
          <w:b/>
          <w:bCs/>
          <w:color w:val="auto"/>
        </w:rPr>
      </w:pPr>
      <w:r>
        <w:rPr>
          <w:rFonts w:cs="Times New Roman"/>
          <w:color w:val="auto"/>
        </w:rPr>
        <w:br w:type="page"/>
      </w:r>
      <w:r>
        <w:rPr>
          <w:rFonts w:hint="eastAsia" w:cs="宋体"/>
          <w:b/>
          <w:bCs/>
          <w:color w:val="auto"/>
        </w:rPr>
        <w:t>附件二廉政合同</w:t>
      </w:r>
    </w:p>
    <w:p>
      <w:pPr>
        <w:pStyle w:val="50"/>
        <w:spacing w:line="360" w:lineRule="auto"/>
        <w:rPr>
          <w:rFonts w:cs="Times New Roman"/>
          <w:color w:val="auto"/>
        </w:rPr>
      </w:pPr>
    </w:p>
    <w:p>
      <w:pPr>
        <w:pStyle w:val="50"/>
        <w:spacing w:line="360" w:lineRule="auto"/>
        <w:jc w:val="center"/>
        <w:rPr>
          <w:rFonts w:ascii="黑体" w:eastAsia="黑体" w:cs="Times New Roman"/>
          <w:color w:val="auto"/>
          <w:sz w:val="32"/>
          <w:szCs w:val="32"/>
        </w:rPr>
      </w:pPr>
      <w:r>
        <w:rPr>
          <w:rFonts w:hint="eastAsia" w:ascii="黑体" w:eastAsia="黑体" w:cs="黑体"/>
          <w:color w:val="auto"/>
          <w:sz w:val="32"/>
          <w:szCs w:val="32"/>
        </w:rPr>
        <w:t>廉政合同</w:t>
      </w:r>
    </w:p>
    <w:p>
      <w:pPr>
        <w:widowControl/>
        <w:jc w:val="center"/>
        <w:rPr>
          <w:rFonts w:ascii="Times New Roman" w:cs="Times New Roman"/>
          <w:color w:val="auto"/>
          <w:sz w:val="24"/>
          <w:szCs w:val="24"/>
        </w:rPr>
      </w:pPr>
      <w:r>
        <w:rPr>
          <w:rFonts w:hint="eastAsia" w:cs="宋体"/>
          <w:color w:val="auto"/>
          <w:sz w:val="24"/>
          <w:szCs w:val="24"/>
        </w:rPr>
        <w:t>（本格式编排在招标文件中，供投标人参考，投标时不需附此表）</w:t>
      </w:r>
    </w:p>
    <w:p>
      <w:pPr>
        <w:pStyle w:val="50"/>
        <w:spacing w:line="360" w:lineRule="auto"/>
        <w:ind w:firstLine="480" w:firstLineChars="200"/>
        <w:rPr>
          <w:rFonts w:cs="Times New Roman"/>
          <w:color w:val="auto"/>
        </w:rPr>
      </w:pPr>
    </w:p>
    <w:p>
      <w:pPr>
        <w:autoSpaceDE w:val="0"/>
        <w:autoSpaceDN w:val="0"/>
        <w:snapToGrid w:val="0"/>
        <w:spacing w:line="360" w:lineRule="auto"/>
        <w:ind w:firstLine="480"/>
        <w:jc w:val="left"/>
        <w:rPr>
          <w:rFonts w:ascii="宋体" w:cs="宋体"/>
          <w:color w:val="auto"/>
          <w:sz w:val="24"/>
          <w:szCs w:val="24"/>
        </w:rPr>
      </w:pPr>
      <w:r>
        <w:rPr>
          <w:rFonts w:hint="eastAsia" w:ascii="宋体" w:cs="宋体"/>
          <w:color w:val="auto"/>
          <w:sz w:val="24"/>
          <w:szCs w:val="24"/>
        </w:rPr>
        <w:t>根据《关于在交通基础设施建设中加强廉政建设的若干意见》以及有关工程建设、廉政建设的规定，为做好工程建设中的党风廉政建设，保证工程建设高效优质，保证建设资金的安全和有效使用以及投资效益，（项目名称）的项目法人</w:t>
      </w:r>
      <w:r>
        <w:rPr>
          <w:rFonts w:hint="eastAsia" w:cs="宋体"/>
          <w:color w:val="auto"/>
          <w:sz w:val="24"/>
          <w:szCs w:val="24"/>
        </w:rPr>
        <w:t>（</w:t>
      </w:r>
      <w:r>
        <w:rPr>
          <w:rFonts w:hint="eastAsia" w:ascii="宋体" w:cs="宋体"/>
          <w:color w:val="auto"/>
          <w:sz w:val="24"/>
          <w:szCs w:val="24"/>
        </w:rPr>
        <w:t>项目法人名称，以下简称</w:t>
      </w:r>
      <w:r>
        <w:rPr>
          <w:rFonts w:hint="eastAsia" w:cs="宋体"/>
          <w:color w:val="auto"/>
          <w:sz w:val="24"/>
          <w:szCs w:val="24"/>
        </w:rPr>
        <w:t>“</w:t>
      </w:r>
      <w:r>
        <w:rPr>
          <w:rFonts w:hint="eastAsia" w:ascii="宋体" w:cs="宋体"/>
          <w:color w:val="auto"/>
          <w:sz w:val="24"/>
          <w:szCs w:val="24"/>
        </w:rPr>
        <w:t>发包人</w:t>
      </w:r>
      <w:r>
        <w:rPr>
          <w:rFonts w:hint="eastAsia" w:cs="宋体"/>
          <w:color w:val="auto"/>
          <w:sz w:val="24"/>
          <w:szCs w:val="24"/>
        </w:rPr>
        <w:t>”）</w:t>
      </w:r>
      <w:r>
        <w:rPr>
          <w:rFonts w:hint="eastAsia" w:ascii="宋体" w:cs="宋体"/>
          <w:color w:val="auto"/>
          <w:sz w:val="24"/>
          <w:szCs w:val="24"/>
        </w:rPr>
        <w:t>与该项目标段的勘察单位</w:t>
      </w:r>
      <w:r>
        <w:rPr>
          <w:rFonts w:hint="eastAsia" w:cs="宋体"/>
          <w:color w:val="auto"/>
          <w:sz w:val="24"/>
          <w:szCs w:val="24"/>
        </w:rPr>
        <w:t>（</w:t>
      </w:r>
      <w:r>
        <w:rPr>
          <w:rFonts w:hint="eastAsia" w:ascii="宋体" w:cs="宋体"/>
          <w:color w:val="auto"/>
          <w:sz w:val="24"/>
          <w:szCs w:val="24"/>
        </w:rPr>
        <w:t>勘察单位名称，以下简称</w:t>
      </w:r>
      <w:r>
        <w:rPr>
          <w:rFonts w:hint="eastAsia" w:cs="宋体"/>
          <w:color w:val="auto"/>
          <w:sz w:val="24"/>
          <w:szCs w:val="24"/>
        </w:rPr>
        <w:t>“</w:t>
      </w:r>
      <w:r>
        <w:rPr>
          <w:rFonts w:hint="eastAsia" w:ascii="宋体" w:cs="宋体"/>
          <w:color w:val="auto"/>
          <w:sz w:val="24"/>
          <w:szCs w:val="24"/>
        </w:rPr>
        <w:t>勘察人</w:t>
      </w:r>
      <w:r>
        <w:rPr>
          <w:rFonts w:hint="eastAsia" w:cs="宋体"/>
          <w:color w:val="auto"/>
          <w:sz w:val="24"/>
          <w:szCs w:val="24"/>
        </w:rPr>
        <w:t>”）</w:t>
      </w:r>
      <w:r>
        <w:rPr>
          <w:rFonts w:hint="eastAsia" w:ascii="宋体" w:cs="宋体"/>
          <w:color w:val="auto"/>
          <w:sz w:val="24"/>
          <w:szCs w:val="24"/>
        </w:rPr>
        <w:t>，特订立如下合同。</w:t>
      </w:r>
    </w:p>
    <w:p>
      <w:pPr>
        <w:autoSpaceDE w:val="0"/>
        <w:autoSpaceDN w:val="0"/>
        <w:snapToGrid w:val="0"/>
        <w:spacing w:line="360" w:lineRule="auto"/>
        <w:ind w:firstLine="480"/>
        <w:jc w:val="left"/>
        <w:rPr>
          <w:rFonts w:ascii="宋体" w:cs="Times New Roman"/>
          <w:color w:val="auto"/>
          <w:sz w:val="24"/>
          <w:szCs w:val="24"/>
        </w:rPr>
      </w:pPr>
      <w:r>
        <w:rPr>
          <w:rFonts w:ascii="宋体" w:cs="宋体"/>
          <w:color w:val="auto"/>
          <w:sz w:val="24"/>
          <w:szCs w:val="24"/>
        </w:rPr>
        <w:t xml:space="preserve">1. </w:t>
      </w:r>
      <w:r>
        <w:rPr>
          <w:rFonts w:hint="eastAsia" w:ascii="宋体" w:cs="宋体"/>
          <w:color w:val="auto"/>
          <w:sz w:val="24"/>
          <w:szCs w:val="24"/>
        </w:rPr>
        <w:t>发包人和勘察人双方的权利和义务</w:t>
      </w:r>
    </w:p>
    <w:p>
      <w:pPr>
        <w:autoSpaceDE w:val="0"/>
        <w:autoSpaceDN w:val="0"/>
        <w:snapToGrid w:val="0"/>
        <w:spacing w:line="360" w:lineRule="auto"/>
        <w:ind w:firstLine="480"/>
        <w:jc w:val="left"/>
        <w:rPr>
          <w:rFonts w:ascii="宋体" w:cs="宋体"/>
          <w:color w:val="auto"/>
          <w:sz w:val="24"/>
          <w:szCs w:val="24"/>
        </w:rPr>
      </w:pPr>
      <w:r>
        <w:rPr>
          <w:rFonts w:hint="eastAsia" w:ascii="宋体" w:cs="宋体"/>
          <w:color w:val="auto"/>
          <w:sz w:val="24"/>
          <w:szCs w:val="24"/>
        </w:rPr>
        <w:t>（</w:t>
      </w:r>
      <w:r>
        <w:rPr>
          <w:rFonts w:ascii="宋体" w:cs="宋体"/>
          <w:color w:val="auto"/>
          <w:sz w:val="24"/>
          <w:szCs w:val="24"/>
        </w:rPr>
        <w:t>1</w:t>
      </w:r>
      <w:r>
        <w:rPr>
          <w:rFonts w:hint="eastAsia" w:ascii="宋体" w:cs="宋体"/>
          <w:color w:val="auto"/>
          <w:sz w:val="24"/>
          <w:szCs w:val="24"/>
        </w:rPr>
        <w:t>）严格遵守党的政策规定和国家有关法律法规及交通运输部的有关规定。</w:t>
      </w:r>
    </w:p>
    <w:p>
      <w:pPr>
        <w:autoSpaceDE w:val="0"/>
        <w:autoSpaceDN w:val="0"/>
        <w:snapToGrid w:val="0"/>
        <w:spacing w:line="360" w:lineRule="auto"/>
        <w:ind w:firstLine="480"/>
        <w:jc w:val="left"/>
        <w:rPr>
          <w:rFonts w:ascii="宋体" w:cs="Times New Roman"/>
          <w:color w:val="auto"/>
          <w:sz w:val="24"/>
          <w:szCs w:val="24"/>
        </w:rPr>
      </w:pPr>
      <w:r>
        <w:rPr>
          <w:rFonts w:hint="eastAsia" w:ascii="宋体" w:cs="宋体"/>
          <w:color w:val="auto"/>
          <w:sz w:val="24"/>
          <w:szCs w:val="24"/>
        </w:rPr>
        <w:t>（</w:t>
      </w:r>
      <w:r>
        <w:rPr>
          <w:rFonts w:ascii="宋体" w:cs="宋体"/>
          <w:color w:val="auto"/>
          <w:sz w:val="24"/>
          <w:szCs w:val="24"/>
        </w:rPr>
        <w:t>2</w:t>
      </w:r>
      <w:r>
        <w:rPr>
          <w:rFonts w:hint="eastAsia" w:ascii="宋体" w:cs="宋体"/>
          <w:color w:val="auto"/>
          <w:sz w:val="24"/>
          <w:szCs w:val="24"/>
        </w:rPr>
        <w:t>）严格执行（项目名称）标段勘察合同文件，自觉按合同办事。</w:t>
      </w:r>
    </w:p>
    <w:p>
      <w:pPr>
        <w:autoSpaceDE w:val="0"/>
        <w:autoSpaceDN w:val="0"/>
        <w:snapToGrid w:val="0"/>
        <w:spacing w:line="360" w:lineRule="auto"/>
        <w:ind w:firstLine="480"/>
        <w:jc w:val="left"/>
        <w:rPr>
          <w:rFonts w:ascii="宋体" w:cs="Times New Roman"/>
          <w:color w:val="auto"/>
          <w:sz w:val="24"/>
          <w:szCs w:val="24"/>
        </w:rPr>
      </w:pPr>
      <w:r>
        <w:rPr>
          <w:rFonts w:hint="eastAsia" w:ascii="宋体" w:cs="宋体"/>
          <w:color w:val="auto"/>
          <w:sz w:val="24"/>
          <w:szCs w:val="24"/>
        </w:rPr>
        <w:t>（</w:t>
      </w:r>
      <w:r>
        <w:rPr>
          <w:rFonts w:ascii="宋体" w:cs="宋体"/>
          <w:color w:val="auto"/>
          <w:sz w:val="24"/>
          <w:szCs w:val="24"/>
        </w:rPr>
        <w:t>3</w:t>
      </w:r>
      <w:r>
        <w:rPr>
          <w:rFonts w:hint="eastAsia" w:ascii="宋体" w:cs="宋体"/>
          <w:color w:val="auto"/>
          <w:sz w:val="24"/>
          <w:szCs w:val="24"/>
        </w:rPr>
        <w:t>）双方的业务活动坚持公开、公正、诚信、透明的原则（法律认定的商业秘密和合同文件另有规定除外），不得损害国家和集体利益，不得违反工程建设管理规章制度。</w:t>
      </w:r>
    </w:p>
    <w:p>
      <w:pPr>
        <w:autoSpaceDE w:val="0"/>
        <w:autoSpaceDN w:val="0"/>
        <w:snapToGrid w:val="0"/>
        <w:spacing w:line="360" w:lineRule="auto"/>
        <w:ind w:firstLine="480"/>
        <w:jc w:val="left"/>
        <w:rPr>
          <w:rFonts w:ascii="宋体" w:cs="宋体"/>
          <w:color w:val="auto"/>
          <w:sz w:val="24"/>
          <w:szCs w:val="24"/>
        </w:rPr>
      </w:pPr>
      <w:r>
        <w:rPr>
          <w:rFonts w:hint="eastAsia" w:ascii="宋体" w:cs="宋体"/>
          <w:color w:val="auto"/>
          <w:sz w:val="24"/>
          <w:szCs w:val="24"/>
        </w:rPr>
        <w:t>（</w:t>
      </w:r>
      <w:r>
        <w:rPr>
          <w:rFonts w:ascii="宋体" w:cs="宋体"/>
          <w:color w:val="auto"/>
          <w:sz w:val="24"/>
          <w:szCs w:val="24"/>
        </w:rPr>
        <w:t>4</w:t>
      </w:r>
      <w:r>
        <w:rPr>
          <w:rFonts w:hint="eastAsia" w:ascii="宋体" w:cs="宋体"/>
          <w:color w:val="auto"/>
          <w:sz w:val="24"/>
          <w:szCs w:val="24"/>
        </w:rPr>
        <w:t>）建立健全廉政制度，开展廉政教育，设立廉政告示牌，公布举报电话，监督并认真查处违法违纪行为。</w:t>
      </w:r>
    </w:p>
    <w:p>
      <w:pPr>
        <w:autoSpaceDE w:val="0"/>
        <w:autoSpaceDN w:val="0"/>
        <w:snapToGrid w:val="0"/>
        <w:spacing w:line="360" w:lineRule="auto"/>
        <w:ind w:firstLine="480"/>
        <w:jc w:val="left"/>
        <w:rPr>
          <w:rFonts w:ascii="宋体" w:cs="Times New Roman"/>
          <w:color w:val="auto"/>
          <w:sz w:val="24"/>
          <w:szCs w:val="24"/>
        </w:rPr>
      </w:pPr>
      <w:r>
        <w:rPr>
          <w:rFonts w:hint="eastAsia" w:ascii="宋体" w:cs="宋体"/>
          <w:color w:val="auto"/>
          <w:sz w:val="24"/>
          <w:szCs w:val="24"/>
        </w:rPr>
        <w:t>（</w:t>
      </w:r>
      <w:r>
        <w:rPr>
          <w:rFonts w:ascii="宋体" w:cs="宋体"/>
          <w:color w:val="auto"/>
          <w:sz w:val="24"/>
          <w:szCs w:val="24"/>
        </w:rPr>
        <w:t>5</w:t>
      </w:r>
      <w:r>
        <w:rPr>
          <w:rFonts w:hint="eastAsia" w:ascii="宋体" w:cs="宋体"/>
          <w:color w:val="auto"/>
          <w:sz w:val="24"/>
          <w:szCs w:val="24"/>
        </w:rPr>
        <w:t>）发现对方在业务活动中有违反廉政规定的行为，有及时提醒对方纠正的权利和义务。</w:t>
      </w:r>
    </w:p>
    <w:p>
      <w:pPr>
        <w:autoSpaceDE w:val="0"/>
        <w:autoSpaceDN w:val="0"/>
        <w:snapToGrid w:val="0"/>
        <w:spacing w:line="360" w:lineRule="auto"/>
        <w:ind w:firstLine="480"/>
        <w:jc w:val="left"/>
        <w:rPr>
          <w:rFonts w:ascii="宋体" w:cs="Times New Roman"/>
          <w:color w:val="auto"/>
          <w:sz w:val="24"/>
          <w:szCs w:val="24"/>
        </w:rPr>
      </w:pPr>
      <w:r>
        <w:rPr>
          <w:rFonts w:hint="eastAsia" w:ascii="宋体" w:cs="宋体"/>
          <w:color w:val="auto"/>
          <w:sz w:val="24"/>
          <w:szCs w:val="24"/>
        </w:rPr>
        <w:t>（</w:t>
      </w:r>
      <w:r>
        <w:rPr>
          <w:rFonts w:ascii="宋体" w:cs="宋体"/>
          <w:color w:val="auto"/>
          <w:sz w:val="24"/>
          <w:szCs w:val="24"/>
        </w:rPr>
        <w:t>6</w:t>
      </w:r>
      <w:r>
        <w:rPr>
          <w:rFonts w:hint="eastAsia" w:ascii="宋体" w:cs="宋体"/>
          <w:color w:val="auto"/>
          <w:sz w:val="24"/>
          <w:szCs w:val="24"/>
        </w:rPr>
        <w:t>）发现对方严重违反本合同义务条款的行为，有向其上级有关部门举报、建议给予处理并要求告知处理结果的权利。</w:t>
      </w:r>
    </w:p>
    <w:p>
      <w:pPr>
        <w:autoSpaceDE w:val="0"/>
        <w:autoSpaceDN w:val="0"/>
        <w:snapToGrid w:val="0"/>
        <w:spacing w:line="360" w:lineRule="auto"/>
        <w:ind w:firstLine="480"/>
        <w:jc w:val="left"/>
        <w:rPr>
          <w:rFonts w:ascii="宋体" w:cs="Times New Roman"/>
          <w:color w:val="auto"/>
          <w:sz w:val="24"/>
          <w:szCs w:val="24"/>
        </w:rPr>
      </w:pPr>
      <w:r>
        <w:rPr>
          <w:rFonts w:ascii="宋体" w:cs="宋体"/>
          <w:color w:val="auto"/>
          <w:sz w:val="24"/>
          <w:szCs w:val="24"/>
        </w:rPr>
        <w:t>2.</w:t>
      </w:r>
      <w:r>
        <w:rPr>
          <w:rFonts w:hint="eastAsia" w:ascii="宋体" w:cs="宋体"/>
          <w:color w:val="auto"/>
          <w:sz w:val="24"/>
          <w:szCs w:val="24"/>
        </w:rPr>
        <w:t>发包人的义务</w:t>
      </w:r>
    </w:p>
    <w:p>
      <w:pPr>
        <w:autoSpaceDE w:val="0"/>
        <w:autoSpaceDN w:val="0"/>
        <w:snapToGrid w:val="0"/>
        <w:spacing w:line="360" w:lineRule="auto"/>
        <w:ind w:firstLine="480"/>
        <w:jc w:val="left"/>
        <w:rPr>
          <w:rFonts w:ascii="宋体" w:cs="宋体"/>
          <w:color w:val="auto"/>
          <w:sz w:val="24"/>
          <w:szCs w:val="24"/>
        </w:rPr>
      </w:pPr>
      <w:r>
        <w:rPr>
          <w:rFonts w:hint="eastAsia" w:ascii="宋体" w:cs="宋体"/>
          <w:color w:val="auto"/>
          <w:sz w:val="24"/>
          <w:szCs w:val="24"/>
        </w:rPr>
        <w:t>（</w:t>
      </w:r>
      <w:r>
        <w:rPr>
          <w:rFonts w:ascii="宋体" w:cs="宋体"/>
          <w:color w:val="auto"/>
          <w:sz w:val="24"/>
          <w:szCs w:val="24"/>
        </w:rPr>
        <w:t>1</w:t>
      </w:r>
      <w:r>
        <w:rPr>
          <w:rFonts w:hint="eastAsia" w:ascii="宋体" w:cs="宋体"/>
          <w:color w:val="auto"/>
          <w:sz w:val="24"/>
          <w:szCs w:val="24"/>
        </w:rPr>
        <w:t>）发包人及其工作人员不得索要或接受乙方的礼金、有价证券和贵重物品，不得让勘察人报销任何应由发包人或发包人工作人员个人支付的费用等。</w:t>
      </w:r>
    </w:p>
    <w:p>
      <w:pPr>
        <w:autoSpaceDE w:val="0"/>
        <w:autoSpaceDN w:val="0"/>
        <w:snapToGrid w:val="0"/>
        <w:spacing w:line="360" w:lineRule="auto"/>
        <w:ind w:firstLine="480"/>
        <w:jc w:val="left"/>
        <w:rPr>
          <w:rFonts w:ascii="宋体" w:cs="Times New Roman"/>
          <w:color w:val="auto"/>
          <w:sz w:val="24"/>
          <w:szCs w:val="24"/>
        </w:rPr>
      </w:pPr>
      <w:r>
        <w:rPr>
          <w:rFonts w:hint="eastAsia" w:ascii="宋体" w:cs="宋体"/>
          <w:color w:val="auto"/>
          <w:sz w:val="24"/>
          <w:szCs w:val="24"/>
        </w:rPr>
        <w:t>（</w:t>
      </w:r>
      <w:r>
        <w:rPr>
          <w:rFonts w:ascii="宋体" w:cs="宋体"/>
          <w:color w:val="auto"/>
          <w:sz w:val="24"/>
          <w:szCs w:val="24"/>
        </w:rPr>
        <w:t>2</w:t>
      </w:r>
      <w:r>
        <w:rPr>
          <w:rFonts w:hint="eastAsia" w:ascii="宋体" w:cs="宋体"/>
          <w:color w:val="auto"/>
          <w:sz w:val="24"/>
          <w:szCs w:val="24"/>
        </w:rPr>
        <w:t>）发包人工作人员不得参加乙方安排的超标准宴请和娱乐活动；不得接受乙方提供的通讯工具、交通工具和高档办公用品等。</w:t>
      </w:r>
    </w:p>
    <w:p>
      <w:pPr>
        <w:autoSpaceDE w:val="0"/>
        <w:autoSpaceDN w:val="0"/>
        <w:snapToGrid w:val="0"/>
        <w:spacing w:line="360" w:lineRule="auto"/>
        <w:ind w:firstLine="480"/>
        <w:jc w:val="left"/>
        <w:rPr>
          <w:rFonts w:ascii="宋体" w:cs="Times New Roman"/>
          <w:color w:val="auto"/>
          <w:sz w:val="24"/>
          <w:szCs w:val="24"/>
        </w:rPr>
      </w:pPr>
      <w:r>
        <w:rPr>
          <w:rFonts w:hint="eastAsia" w:ascii="宋体" w:cs="宋体"/>
          <w:color w:val="auto"/>
          <w:sz w:val="24"/>
          <w:szCs w:val="24"/>
        </w:rPr>
        <w:t>（</w:t>
      </w:r>
      <w:r>
        <w:rPr>
          <w:rFonts w:ascii="宋体" w:cs="宋体"/>
          <w:color w:val="auto"/>
          <w:sz w:val="24"/>
          <w:szCs w:val="24"/>
        </w:rPr>
        <w:t>3</w:t>
      </w:r>
      <w:r>
        <w:rPr>
          <w:rFonts w:hint="eastAsia" w:ascii="宋体" w:cs="宋体"/>
          <w:color w:val="auto"/>
          <w:sz w:val="24"/>
          <w:szCs w:val="24"/>
        </w:rPr>
        <w:t>）发包人及其工作人员不得要求或者接受勘察人为其住房装修、婚丧嫁娶活动、配偶子女及其亲属的工作安排以及出国出境、旅游等提供方便等。</w:t>
      </w:r>
    </w:p>
    <w:p>
      <w:pPr>
        <w:autoSpaceDE w:val="0"/>
        <w:autoSpaceDN w:val="0"/>
        <w:snapToGrid w:val="0"/>
        <w:spacing w:line="360" w:lineRule="auto"/>
        <w:ind w:firstLine="480"/>
        <w:jc w:val="left"/>
        <w:rPr>
          <w:rFonts w:ascii="宋体" w:cs="宋体"/>
          <w:color w:val="auto"/>
          <w:sz w:val="24"/>
          <w:szCs w:val="24"/>
        </w:rPr>
      </w:pPr>
      <w:r>
        <w:rPr>
          <w:rFonts w:hint="eastAsia" w:ascii="宋体" w:cs="宋体"/>
          <w:color w:val="auto"/>
          <w:sz w:val="24"/>
          <w:szCs w:val="24"/>
        </w:rPr>
        <w:t>（</w:t>
      </w:r>
      <w:r>
        <w:rPr>
          <w:rFonts w:ascii="宋体" w:cs="宋体"/>
          <w:color w:val="auto"/>
          <w:sz w:val="24"/>
          <w:szCs w:val="24"/>
        </w:rPr>
        <w:t>4</w:t>
      </w:r>
      <w:r>
        <w:rPr>
          <w:rFonts w:hint="eastAsia" w:ascii="宋体" w:cs="宋体"/>
          <w:color w:val="auto"/>
          <w:sz w:val="24"/>
          <w:szCs w:val="24"/>
        </w:rPr>
        <w:t>）发包人工作人员及其配偶、子女、亲属不得从事与本勘察合同有关的勘察业务等活动。</w:t>
      </w:r>
    </w:p>
    <w:p>
      <w:pPr>
        <w:autoSpaceDE w:val="0"/>
        <w:autoSpaceDN w:val="0"/>
        <w:snapToGrid w:val="0"/>
        <w:spacing w:line="360" w:lineRule="auto"/>
        <w:ind w:firstLine="480"/>
        <w:jc w:val="left"/>
        <w:rPr>
          <w:rFonts w:ascii="宋体" w:cs="Times New Roman"/>
          <w:color w:val="auto"/>
          <w:sz w:val="24"/>
          <w:szCs w:val="24"/>
          <w:lang w:val="zh-TW" w:eastAsia="zh-TW"/>
        </w:rPr>
      </w:pPr>
      <w:r>
        <w:rPr>
          <w:rFonts w:hint="eastAsia" w:ascii="宋体" w:cs="宋体"/>
          <w:color w:val="auto"/>
          <w:sz w:val="24"/>
          <w:szCs w:val="24"/>
        </w:rPr>
        <w:t>（</w:t>
      </w:r>
      <w:r>
        <w:rPr>
          <w:rFonts w:ascii="宋体" w:cs="宋体"/>
          <w:color w:val="auto"/>
          <w:sz w:val="24"/>
          <w:szCs w:val="24"/>
        </w:rPr>
        <w:t>5</w:t>
      </w:r>
      <w:r>
        <w:rPr>
          <w:rFonts w:hint="eastAsia" w:ascii="宋体" w:cs="宋体"/>
          <w:color w:val="auto"/>
          <w:sz w:val="24"/>
          <w:szCs w:val="24"/>
        </w:rPr>
        <w:t>）发包人</w:t>
      </w:r>
      <w:r>
        <w:rPr>
          <w:rFonts w:hint="eastAsia" w:ascii="宋体" w:cs="宋体"/>
          <w:color w:val="auto"/>
          <w:sz w:val="24"/>
          <w:szCs w:val="24"/>
          <w:lang w:val="zh-TW"/>
        </w:rPr>
        <w:t>工作人员要秉公办事，不准营私舞弊，不准利用职权从事各种个人有偿中介活动和安排个人勘察队伍。</w:t>
      </w:r>
    </w:p>
    <w:p>
      <w:pPr>
        <w:autoSpaceDE w:val="0"/>
        <w:autoSpaceDN w:val="0"/>
        <w:snapToGrid w:val="0"/>
        <w:spacing w:line="360" w:lineRule="auto"/>
        <w:ind w:firstLine="480"/>
        <w:jc w:val="left"/>
        <w:rPr>
          <w:rFonts w:ascii="宋体" w:cs="Times New Roman"/>
          <w:color w:val="auto"/>
          <w:sz w:val="24"/>
          <w:szCs w:val="24"/>
        </w:rPr>
      </w:pPr>
      <w:r>
        <w:rPr>
          <w:rFonts w:ascii="宋体" w:cs="宋体"/>
          <w:color w:val="auto"/>
          <w:sz w:val="24"/>
          <w:szCs w:val="24"/>
        </w:rPr>
        <w:t>3.</w:t>
      </w:r>
      <w:r>
        <w:rPr>
          <w:rFonts w:hint="eastAsia" w:ascii="宋体" w:cs="宋体"/>
          <w:color w:val="auto"/>
          <w:sz w:val="24"/>
          <w:szCs w:val="24"/>
        </w:rPr>
        <w:t>勘察人的义务</w:t>
      </w:r>
    </w:p>
    <w:p>
      <w:pPr>
        <w:autoSpaceDE w:val="0"/>
        <w:autoSpaceDN w:val="0"/>
        <w:snapToGrid w:val="0"/>
        <w:spacing w:line="360" w:lineRule="auto"/>
        <w:ind w:firstLine="480"/>
        <w:jc w:val="left"/>
        <w:rPr>
          <w:rFonts w:ascii="宋体" w:cs="Times New Roman"/>
          <w:color w:val="auto"/>
          <w:sz w:val="24"/>
          <w:szCs w:val="24"/>
        </w:rPr>
      </w:pPr>
      <w:r>
        <w:rPr>
          <w:rFonts w:hint="eastAsia" w:ascii="宋体" w:cs="宋体"/>
          <w:color w:val="auto"/>
          <w:sz w:val="24"/>
          <w:szCs w:val="24"/>
        </w:rPr>
        <w:t>（</w:t>
      </w:r>
      <w:r>
        <w:rPr>
          <w:rFonts w:ascii="宋体" w:cs="宋体"/>
          <w:color w:val="auto"/>
          <w:sz w:val="24"/>
          <w:szCs w:val="24"/>
        </w:rPr>
        <w:t>1</w:t>
      </w:r>
      <w:r>
        <w:rPr>
          <w:rFonts w:hint="eastAsia" w:ascii="宋体" w:cs="宋体"/>
          <w:color w:val="auto"/>
          <w:sz w:val="24"/>
          <w:szCs w:val="24"/>
        </w:rPr>
        <w:t>）勘察人不得以任何理由向发包人及其工作人员行贿或馈赠礼金、有价证券、贵重礼品。</w:t>
      </w:r>
    </w:p>
    <w:p>
      <w:pPr>
        <w:autoSpaceDE w:val="0"/>
        <w:autoSpaceDN w:val="0"/>
        <w:snapToGrid w:val="0"/>
        <w:spacing w:line="360" w:lineRule="auto"/>
        <w:ind w:firstLine="480"/>
        <w:jc w:val="left"/>
        <w:rPr>
          <w:rFonts w:ascii="宋体" w:cs="Times New Roman"/>
          <w:color w:val="auto"/>
          <w:sz w:val="24"/>
          <w:szCs w:val="24"/>
        </w:rPr>
      </w:pPr>
      <w:r>
        <w:rPr>
          <w:rFonts w:hint="eastAsia" w:ascii="宋体" w:cs="宋体"/>
          <w:color w:val="auto"/>
          <w:sz w:val="24"/>
          <w:szCs w:val="24"/>
        </w:rPr>
        <w:t>（</w:t>
      </w:r>
      <w:r>
        <w:rPr>
          <w:rFonts w:ascii="宋体" w:cs="宋体"/>
          <w:color w:val="auto"/>
          <w:sz w:val="24"/>
          <w:szCs w:val="24"/>
        </w:rPr>
        <w:t>2</w:t>
      </w:r>
      <w:r>
        <w:rPr>
          <w:rFonts w:hint="eastAsia" w:ascii="宋体" w:cs="宋体"/>
          <w:color w:val="auto"/>
          <w:sz w:val="24"/>
          <w:szCs w:val="24"/>
        </w:rPr>
        <w:t>）勘察人不得以任何名义为发包人及其工作人员报销应由发包人单位或个人支付的任何费用。</w:t>
      </w:r>
    </w:p>
    <w:p>
      <w:pPr>
        <w:autoSpaceDE w:val="0"/>
        <w:autoSpaceDN w:val="0"/>
        <w:snapToGrid w:val="0"/>
        <w:spacing w:line="360" w:lineRule="auto"/>
        <w:ind w:firstLine="480"/>
        <w:jc w:val="left"/>
        <w:rPr>
          <w:rFonts w:ascii="宋体" w:cs="Times New Roman"/>
          <w:color w:val="auto"/>
          <w:sz w:val="24"/>
          <w:szCs w:val="24"/>
        </w:rPr>
      </w:pPr>
      <w:r>
        <w:rPr>
          <w:rFonts w:hint="eastAsia" w:ascii="宋体" w:cs="宋体"/>
          <w:color w:val="auto"/>
          <w:sz w:val="24"/>
          <w:szCs w:val="24"/>
        </w:rPr>
        <w:t>（</w:t>
      </w:r>
      <w:r>
        <w:rPr>
          <w:rFonts w:ascii="宋体" w:cs="宋体"/>
          <w:color w:val="auto"/>
          <w:sz w:val="24"/>
          <w:szCs w:val="24"/>
        </w:rPr>
        <w:t>3</w:t>
      </w:r>
      <w:r>
        <w:rPr>
          <w:rFonts w:hint="eastAsia" w:ascii="宋体" w:cs="宋体"/>
          <w:color w:val="auto"/>
          <w:sz w:val="24"/>
          <w:szCs w:val="24"/>
        </w:rPr>
        <w:t>）勘察人不得以任何理由安排发包人工作人员参加超标准宴请及娱乐活动。</w:t>
      </w:r>
    </w:p>
    <w:p>
      <w:pPr>
        <w:autoSpaceDE w:val="0"/>
        <w:autoSpaceDN w:val="0"/>
        <w:snapToGrid w:val="0"/>
        <w:spacing w:line="360" w:lineRule="auto"/>
        <w:ind w:firstLine="480"/>
        <w:jc w:val="left"/>
        <w:rPr>
          <w:rFonts w:ascii="宋体" w:cs="Times New Roman"/>
          <w:color w:val="auto"/>
          <w:sz w:val="24"/>
          <w:szCs w:val="24"/>
        </w:rPr>
      </w:pPr>
      <w:r>
        <w:rPr>
          <w:rFonts w:hint="eastAsia" w:ascii="宋体" w:cs="宋体"/>
          <w:color w:val="auto"/>
          <w:sz w:val="24"/>
          <w:szCs w:val="24"/>
        </w:rPr>
        <w:t>（</w:t>
      </w:r>
      <w:r>
        <w:rPr>
          <w:rFonts w:ascii="宋体" w:cs="宋体"/>
          <w:color w:val="auto"/>
          <w:sz w:val="24"/>
          <w:szCs w:val="24"/>
        </w:rPr>
        <w:t>4</w:t>
      </w:r>
      <w:r>
        <w:rPr>
          <w:rFonts w:hint="eastAsia" w:ascii="宋体" w:cs="宋体"/>
          <w:color w:val="auto"/>
          <w:sz w:val="24"/>
          <w:szCs w:val="24"/>
        </w:rPr>
        <w:t>）勘察人不得为发包人单位和个人购置或提供通讯工具、交通工具和高档办公用品等。</w:t>
      </w:r>
    </w:p>
    <w:p>
      <w:pPr>
        <w:autoSpaceDE w:val="0"/>
        <w:autoSpaceDN w:val="0"/>
        <w:snapToGrid w:val="0"/>
        <w:spacing w:line="360" w:lineRule="auto"/>
        <w:ind w:firstLine="480"/>
        <w:jc w:val="left"/>
        <w:rPr>
          <w:rFonts w:ascii="宋体" w:cs="Times New Roman"/>
          <w:color w:val="auto"/>
          <w:sz w:val="24"/>
          <w:szCs w:val="24"/>
        </w:rPr>
      </w:pPr>
      <w:r>
        <w:rPr>
          <w:rFonts w:ascii="宋体" w:cs="宋体"/>
          <w:color w:val="auto"/>
          <w:sz w:val="24"/>
          <w:szCs w:val="24"/>
        </w:rPr>
        <w:t xml:space="preserve">4. </w:t>
      </w:r>
      <w:r>
        <w:rPr>
          <w:rFonts w:hint="eastAsia" w:ascii="宋体" w:cs="宋体"/>
          <w:color w:val="auto"/>
          <w:sz w:val="24"/>
          <w:szCs w:val="24"/>
        </w:rPr>
        <w:t>违约责任</w:t>
      </w:r>
    </w:p>
    <w:p>
      <w:pPr>
        <w:autoSpaceDE w:val="0"/>
        <w:autoSpaceDN w:val="0"/>
        <w:snapToGrid w:val="0"/>
        <w:spacing w:line="360" w:lineRule="auto"/>
        <w:ind w:firstLine="480"/>
        <w:jc w:val="left"/>
        <w:rPr>
          <w:rFonts w:ascii="宋体" w:cs="Times New Roman"/>
          <w:color w:val="auto"/>
          <w:sz w:val="24"/>
          <w:szCs w:val="24"/>
        </w:rPr>
      </w:pPr>
      <w:r>
        <w:rPr>
          <w:rFonts w:hint="eastAsia" w:ascii="宋体" w:cs="宋体"/>
          <w:color w:val="auto"/>
          <w:sz w:val="24"/>
          <w:szCs w:val="24"/>
        </w:rPr>
        <w:t>（</w:t>
      </w:r>
      <w:r>
        <w:rPr>
          <w:rFonts w:ascii="宋体" w:cs="宋体"/>
          <w:color w:val="auto"/>
          <w:sz w:val="24"/>
          <w:szCs w:val="24"/>
        </w:rPr>
        <w:t>1</w:t>
      </w:r>
      <w:r>
        <w:rPr>
          <w:rFonts w:hint="eastAsia" w:ascii="宋体" w:cs="宋体"/>
          <w:color w:val="auto"/>
          <w:sz w:val="24"/>
          <w:szCs w:val="24"/>
        </w:rPr>
        <w:t>）发包人及其工作人员违反本合同第</w:t>
      </w:r>
      <w:r>
        <w:rPr>
          <w:rFonts w:ascii="宋体" w:cs="宋体"/>
          <w:color w:val="auto"/>
          <w:sz w:val="24"/>
          <w:szCs w:val="24"/>
        </w:rPr>
        <w:t>1</w:t>
      </w:r>
      <w:r>
        <w:rPr>
          <w:rFonts w:hint="eastAsia" w:ascii="宋体" w:cs="宋体"/>
          <w:color w:val="auto"/>
          <w:sz w:val="24"/>
          <w:szCs w:val="24"/>
        </w:rPr>
        <w:t>、</w:t>
      </w:r>
      <w:r>
        <w:rPr>
          <w:rFonts w:ascii="宋体" w:cs="宋体"/>
          <w:color w:val="auto"/>
          <w:sz w:val="24"/>
          <w:szCs w:val="24"/>
        </w:rPr>
        <w:t>2</w:t>
      </w:r>
      <w:r>
        <w:rPr>
          <w:rFonts w:hint="eastAsia" w:ascii="宋体" w:cs="宋体"/>
          <w:color w:val="auto"/>
          <w:sz w:val="24"/>
          <w:szCs w:val="24"/>
        </w:rPr>
        <w:t>条，按管理权限，依据有关规定给予党纪、政纪或组织处理；涉嫌犯罪的，移交司法机关追究刑事责任；给勘察人单位造成经济损失的，应予以赔偿。</w:t>
      </w:r>
    </w:p>
    <w:p>
      <w:pPr>
        <w:autoSpaceDE w:val="0"/>
        <w:autoSpaceDN w:val="0"/>
        <w:snapToGrid w:val="0"/>
        <w:spacing w:line="360" w:lineRule="auto"/>
        <w:ind w:firstLine="480"/>
        <w:jc w:val="left"/>
        <w:rPr>
          <w:rFonts w:ascii="宋体" w:cs="Times New Roman"/>
          <w:color w:val="auto"/>
          <w:sz w:val="24"/>
          <w:szCs w:val="24"/>
        </w:rPr>
      </w:pPr>
      <w:r>
        <w:rPr>
          <w:rFonts w:hint="eastAsia" w:ascii="宋体" w:cs="宋体"/>
          <w:color w:val="auto"/>
          <w:sz w:val="24"/>
          <w:szCs w:val="24"/>
        </w:rPr>
        <w:t>（</w:t>
      </w:r>
      <w:r>
        <w:rPr>
          <w:rFonts w:ascii="宋体" w:cs="宋体"/>
          <w:color w:val="auto"/>
          <w:sz w:val="24"/>
          <w:szCs w:val="24"/>
        </w:rPr>
        <w:t>2</w:t>
      </w:r>
      <w:r>
        <w:rPr>
          <w:rFonts w:hint="eastAsia" w:ascii="宋体" w:cs="宋体"/>
          <w:color w:val="auto"/>
          <w:sz w:val="24"/>
          <w:szCs w:val="24"/>
        </w:rPr>
        <w:t>）勘察人及其工作人员违反本合同第</w:t>
      </w:r>
      <w:r>
        <w:rPr>
          <w:rFonts w:ascii="宋体" w:cs="宋体"/>
          <w:color w:val="auto"/>
          <w:sz w:val="24"/>
          <w:szCs w:val="24"/>
        </w:rPr>
        <w:t>1</w:t>
      </w:r>
      <w:r>
        <w:rPr>
          <w:rFonts w:hint="eastAsia" w:ascii="宋体" w:cs="宋体"/>
          <w:color w:val="auto"/>
          <w:sz w:val="24"/>
          <w:szCs w:val="24"/>
        </w:rPr>
        <w:t>、</w:t>
      </w:r>
      <w:r>
        <w:rPr>
          <w:rFonts w:ascii="宋体" w:cs="宋体"/>
          <w:color w:val="auto"/>
          <w:sz w:val="24"/>
          <w:szCs w:val="24"/>
        </w:rPr>
        <w:t>3</w:t>
      </w:r>
      <w:r>
        <w:rPr>
          <w:rFonts w:hint="eastAsia" w:ascii="宋体" w:cs="宋体"/>
          <w:color w:val="auto"/>
          <w:sz w:val="24"/>
          <w:szCs w:val="24"/>
        </w:rPr>
        <w:t>条，按管理权限，依据有关规定给予党纪、政纪或组织处理；给发包人单位造成经济损失的，应予以赔偿；情节严重的，发包人建议交通运输主管部门给予勘察人一至三年内不得进入其主管的公路建设市场的处罚。</w:t>
      </w:r>
    </w:p>
    <w:p>
      <w:pPr>
        <w:autoSpaceDE w:val="0"/>
        <w:autoSpaceDN w:val="0"/>
        <w:snapToGrid w:val="0"/>
        <w:spacing w:line="360" w:lineRule="auto"/>
        <w:ind w:firstLine="480"/>
        <w:jc w:val="left"/>
        <w:rPr>
          <w:rFonts w:ascii="宋体" w:cs="Times New Roman"/>
          <w:color w:val="auto"/>
          <w:sz w:val="24"/>
          <w:szCs w:val="24"/>
        </w:rPr>
      </w:pPr>
      <w:r>
        <w:rPr>
          <w:rFonts w:ascii="宋体" w:cs="宋体"/>
          <w:color w:val="auto"/>
          <w:sz w:val="24"/>
          <w:szCs w:val="24"/>
        </w:rPr>
        <w:t xml:space="preserve">5. </w:t>
      </w:r>
      <w:r>
        <w:rPr>
          <w:rFonts w:hint="eastAsia" w:ascii="宋体" w:cs="宋体"/>
          <w:color w:val="auto"/>
          <w:sz w:val="24"/>
          <w:szCs w:val="24"/>
        </w:rPr>
        <w:t>双方约定：本合同由双方或双方上级单位的纪检监察部门负责监督执行。由发包人或发包人上级单位的纪检监察部门约请勘察人或勘察人上级单位纪检监察部门对本合同执行情况进行检查，提出在本合同规定范围内的裁定意见。</w:t>
      </w:r>
    </w:p>
    <w:p>
      <w:pPr>
        <w:autoSpaceDE w:val="0"/>
        <w:autoSpaceDN w:val="0"/>
        <w:snapToGrid w:val="0"/>
        <w:spacing w:line="360" w:lineRule="auto"/>
        <w:ind w:firstLine="480"/>
        <w:jc w:val="left"/>
        <w:rPr>
          <w:rFonts w:ascii="宋体" w:cs="Times New Roman"/>
          <w:color w:val="auto"/>
          <w:sz w:val="24"/>
          <w:szCs w:val="24"/>
        </w:rPr>
      </w:pPr>
      <w:r>
        <w:rPr>
          <w:rFonts w:ascii="宋体" w:cs="宋体"/>
          <w:color w:val="auto"/>
          <w:sz w:val="24"/>
          <w:szCs w:val="24"/>
        </w:rPr>
        <w:t xml:space="preserve">6. </w:t>
      </w:r>
      <w:r>
        <w:rPr>
          <w:rFonts w:hint="eastAsia" w:ascii="宋体" w:cs="宋体"/>
          <w:color w:val="auto"/>
          <w:sz w:val="24"/>
          <w:szCs w:val="24"/>
        </w:rPr>
        <w:t>本合同有效期为合同双方签署之日起至勘察合同失效日止。</w:t>
      </w:r>
    </w:p>
    <w:p>
      <w:pPr>
        <w:autoSpaceDE w:val="0"/>
        <w:autoSpaceDN w:val="0"/>
        <w:snapToGrid w:val="0"/>
        <w:spacing w:line="360" w:lineRule="auto"/>
        <w:ind w:firstLine="480"/>
        <w:jc w:val="left"/>
        <w:rPr>
          <w:rFonts w:ascii="宋体" w:cs="Times New Roman"/>
          <w:color w:val="auto"/>
          <w:sz w:val="24"/>
          <w:szCs w:val="24"/>
        </w:rPr>
      </w:pPr>
      <w:r>
        <w:rPr>
          <w:rFonts w:ascii="宋体" w:cs="宋体"/>
          <w:color w:val="auto"/>
          <w:sz w:val="24"/>
          <w:szCs w:val="24"/>
        </w:rPr>
        <w:t xml:space="preserve">7. </w:t>
      </w:r>
      <w:r>
        <w:rPr>
          <w:rFonts w:hint="eastAsia" w:ascii="宋体" w:cs="宋体"/>
          <w:color w:val="auto"/>
          <w:sz w:val="24"/>
          <w:szCs w:val="24"/>
        </w:rPr>
        <w:t>本合同作为（项目名称）标段勘察合同的附件，与勘察合同具有同等的法律效力，经合同双方签署后立即生效。</w:t>
      </w:r>
    </w:p>
    <w:p>
      <w:pPr>
        <w:autoSpaceDE w:val="0"/>
        <w:autoSpaceDN w:val="0"/>
        <w:snapToGrid w:val="0"/>
        <w:spacing w:line="360" w:lineRule="auto"/>
        <w:ind w:firstLine="480"/>
        <w:jc w:val="left"/>
        <w:rPr>
          <w:rFonts w:ascii="宋体" w:cs="Times New Roman"/>
          <w:color w:val="auto"/>
          <w:sz w:val="24"/>
          <w:szCs w:val="24"/>
        </w:rPr>
      </w:pPr>
      <w:r>
        <w:rPr>
          <w:rFonts w:ascii="宋体" w:cs="宋体"/>
          <w:color w:val="auto"/>
          <w:sz w:val="24"/>
          <w:szCs w:val="24"/>
        </w:rPr>
        <w:t xml:space="preserve">8. </w:t>
      </w:r>
      <w:r>
        <w:rPr>
          <w:rFonts w:hint="eastAsia" w:ascii="宋体" w:cs="宋体"/>
          <w:color w:val="auto"/>
          <w:sz w:val="24"/>
          <w:szCs w:val="24"/>
        </w:rPr>
        <w:t>本合同一式四份，由发包人和勘察人各执一份，送交发包人和勘察人的监督单位各一份。</w:t>
      </w:r>
    </w:p>
    <w:p>
      <w:pPr>
        <w:autoSpaceDE w:val="0"/>
        <w:autoSpaceDN w:val="0"/>
        <w:snapToGrid w:val="0"/>
        <w:spacing w:line="360" w:lineRule="auto"/>
        <w:jc w:val="left"/>
        <w:rPr>
          <w:rFonts w:ascii="宋体" w:cs="Times New Roman"/>
          <w:color w:val="auto"/>
          <w:sz w:val="24"/>
          <w:szCs w:val="24"/>
          <w:lang w:val="zh-TW" w:eastAsia="zh-TW"/>
        </w:rPr>
      </w:pPr>
      <w:r>
        <w:rPr>
          <w:rFonts w:hint="eastAsia" w:ascii="宋体" w:cs="宋体"/>
          <w:color w:val="auto"/>
          <w:sz w:val="24"/>
          <w:szCs w:val="24"/>
          <w:lang w:val="zh-TW"/>
        </w:rPr>
        <w:t>发包人</w:t>
      </w:r>
      <w:r>
        <w:rPr>
          <w:rFonts w:ascii="宋体" w:cs="宋体"/>
          <w:color w:val="auto"/>
          <w:sz w:val="24"/>
          <w:szCs w:val="24"/>
          <w:lang w:val="zh-TW" w:eastAsia="zh-TW"/>
        </w:rPr>
        <w:t>: (</w:t>
      </w:r>
      <w:r>
        <w:rPr>
          <w:rFonts w:hint="eastAsia" w:ascii="宋体" w:cs="宋体"/>
          <w:color w:val="auto"/>
          <w:sz w:val="24"/>
          <w:szCs w:val="24"/>
          <w:lang w:val="zh-TW"/>
        </w:rPr>
        <w:t>盖单位章）</w:t>
      </w:r>
      <w:r>
        <w:rPr>
          <w:rFonts w:ascii="宋体" w:cs="Times New Roman"/>
          <w:color w:val="auto"/>
          <w:sz w:val="24"/>
          <w:szCs w:val="24"/>
          <w:lang w:val="zh-TW" w:eastAsia="zh-TW"/>
        </w:rPr>
        <w:tab/>
      </w:r>
      <w:r>
        <w:rPr>
          <w:rFonts w:hint="eastAsia" w:ascii="宋体" w:cs="Times New Roman"/>
          <w:color w:val="auto"/>
          <w:sz w:val="24"/>
          <w:szCs w:val="24"/>
          <w:lang w:val="en-US" w:eastAsia="zh-CN"/>
        </w:rPr>
        <w:t xml:space="preserve">            </w:t>
      </w:r>
      <w:r>
        <w:rPr>
          <w:rFonts w:hint="eastAsia" w:ascii="宋体" w:cs="宋体"/>
          <w:color w:val="auto"/>
          <w:sz w:val="24"/>
          <w:szCs w:val="24"/>
          <w:lang w:val="zh-TW"/>
        </w:rPr>
        <w:t>勘察人：</w:t>
      </w:r>
      <w:r>
        <w:rPr>
          <w:rFonts w:ascii="宋体" w:cs="宋体"/>
          <w:color w:val="auto"/>
          <w:sz w:val="24"/>
          <w:szCs w:val="24"/>
          <w:lang w:val="zh-TW" w:eastAsia="zh-TW"/>
        </w:rPr>
        <w:t>(</w:t>
      </w:r>
      <w:r>
        <w:rPr>
          <w:rFonts w:hint="eastAsia" w:ascii="宋体" w:cs="宋体"/>
          <w:color w:val="auto"/>
          <w:sz w:val="24"/>
          <w:szCs w:val="24"/>
          <w:lang w:val="zh-TW"/>
        </w:rPr>
        <w:t>盖单位章）</w:t>
      </w:r>
    </w:p>
    <w:p>
      <w:pPr>
        <w:autoSpaceDE w:val="0"/>
        <w:autoSpaceDN w:val="0"/>
        <w:snapToGrid w:val="0"/>
        <w:spacing w:line="360" w:lineRule="auto"/>
        <w:ind w:left="360" w:hanging="360" w:hangingChars="150"/>
        <w:jc w:val="left"/>
        <w:rPr>
          <w:rFonts w:ascii="宋体" w:cs="Times New Roman"/>
          <w:color w:val="auto"/>
          <w:sz w:val="24"/>
          <w:szCs w:val="24"/>
        </w:rPr>
      </w:pPr>
      <w:r>
        <w:rPr>
          <w:rFonts w:hint="eastAsia" w:ascii="宋体" w:cs="宋体"/>
          <w:color w:val="auto"/>
          <w:sz w:val="24"/>
          <w:szCs w:val="24"/>
          <w:lang w:val="zh-TW"/>
        </w:rPr>
        <w:t>法定代表人或其委托代理人：</w:t>
      </w:r>
      <w:r>
        <w:rPr>
          <w:rFonts w:ascii="宋体" w:cs="宋体"/>
          <w:color w:val="auto"/>
          <w:sz w:val="24"/>
          <w:szCs w:val="24"/>
          <w:lang w:val="zh-TW" w:eastAsia="zh-TW"/>
        </w:rPr>
        <w:t>(</w:t>
      </w:r>
      <w:r>
        <w:rPr>
          <w:rFonts w:hint="eastAsia" w:ascii="宋体" w:cs="宋体"/>
          <w:color w:val="auto"/>
          <w:sz w:val="24"/>
          <w:szCs w:val="24"/>
          <w:lang w:val="zh-TW"/>
        </w:rPr>
        <w:t>签字</w:t>
      </w:r>
      <w:r>
        <w:rPr>
          <w:rFonts w:hint="eastAsia" w:ascii="宋体" w:cs="宋体"/>
          <w:color w:val="auto"/>
          <w:sz w:val="24"/>
          <w:szCs w:val="24"/>
        </w:rPr>
        <w:t>）</w:t>
      </w:r>
      <w:r>
        <w:rPr>
          <w:rFonts w:hint="eastAsia" w:ascii="宋体" w:cs="宋体"/>
          <w:color w:val="auto"/>
          <w:sz w:val="24"/>
          <w:szCs w:val="24"/>
          <w:lang w:val="zh-TW"/>
        </w:rPr>
        <w:t>法定代表人或其委托代理人：</w:t>
      </w:r>
      <w:r>
        <w:rPr>
          <w:rFonts w:ascii="宋体" w:cs="宋体"/>
          <w:color w:val="auto"/>
          <w:sz w:val="24"/>
          <w:szCs w:val="24"/>
          <w:lang w:val="zh-TW" w:eastAsia="zh-TW"/>
        </w:rPr>
        <w:t>(</w:t>
      </w:r>
      <w:r>
        <w:rPr>
          <w:rFonts w:hint="eastAsia" w:ascii="宋体" w:cs="宋体"/>
          <w:color w:val="auto"/>
          <w:sz w:val="24"/>
          <w:szCs w:val="24"/>
          <w:lang w:val="zh-TW"/>
        </w:rPr>
        <w:t>签字</w:t>
      </w:r>
      <w:r>
        <w:rPr>
          <w:rFonts w:hint="eastAsia" w:ascii="宋体" w:cs="宋体"/>
          <w:color w:val="auto"/>
          <w:sz w:val="24"/>
          <w:szCs w:val="24"/>
        </w:rPr>
        <w:t>）</w:t>
      </w:r>
    </w:p>
    <w:p>
      <w:pPr>
        <w:autoSpaceDE w:val="0"/>
        <w:autoSpaceDN w:val="0"/>
        <w:snapToGrid w:val="0"/>
        <w:spacing w:line="360" w:lineRule="auto"/>
        <w:jc w:val="left"/>
        <w:rPr>
          <w:rFonts w:ascii="宋体" w:cs="Times New Roman"/>
          <w:color w:val="auto"/>
          <w:sz w:val="24"/>
          <w:szCs w:val="24"/>
        </w:rPr>
      </w:pPr>
      <w:r>
        <w:rPr>
          <w:rFonts w:hint="eastAsia" w:ascii="宋体" w:cs="宋体"/>
          <w:color w:val="auto"/>
          <w:sz w:val="24"/>
          <w:szCs w:val="24"/>
          <w:lang w:val="zh-TW"/>
        </w:rPr>
        <w:t>年月日</w:t>
      </w:r>
      <w:r>
        <w:rPr>
          <w:rFonts w:hint="eastAsia" w:ascii="宋体" w:cs="宋体"/>
          <w:color w:val="auto"/>
          <w:sz w:val="24"/>
          <w:szCs w:val="24"/>
          <w:lang w:val="en-US" w:eastAsia="zh-CN"/>
        </w:rPr>
        <w:t xml:space="preserve">                              </w:t>
      </w:r>
      <w:r>
        <w:rPr>
          <w:rFonts w:hint="eastAsia" w:ascii="宋体" w:cs="宋体"/>
          <w:color w:val="auto"/>
          <w:sz w:val="24"/>
          <w:szCs w:val="24"/>
          <w:lang w:val="zh-TW"/>
        </w:rPr>
        <w:t>年月日</w:t>
      </w:r>
    </w:p>
    <w:p>
      <w:pPr>
        <w:autoSpaceDE w:val="0"/>
        <w:autoSpaceDN w:val="0"/>
        <w:snapToGrid w:val="0"/>
        <w:spacing w:line="360" w:lineRule="auto"/>
        <w:jc w:val="left"/>
        <w:rPr>
          <w:rFonts w:ascii="宋体" w:cs="Times New Roman"/>
          <w:color w:val="auto"/>
          <w:spacing w:val="-4"/>
          <w:sz w:val="24"/>
          <w:szCs w:val="24"/>
        </w:rPr>
      </w:pPr>
    </w:p>
    <w:p>
      <w:pPr>
        <w:autoSpaceDE w:val="0"/>
        <w:autoSpaceDN w:val="0"/>
        <w:snapToGrid w:val="0"/>
        <w:spacing w:line="360" w:lineRule="auto"/>
        <w:ind w:right="-42"/>
        <w:jc w:val="left"/>
        <w:rPr>
          <w:rFonts w:ascii="宋体" w:cs="宋体"/>
          <w:color w:val="auto"/>
          <w:spacing w:val="-4"/>
          <w:sz w:val="24"/>
          <w:szCs w:val="24"/>
          <w:u w:val="single"/>
        </w:rPr>
      </w:pPr>
      <w:r>
        <w:rPr>
          <w:rFonts w:hint="eastAsia" w:ascii="宋体" w:cs="宋体"/>
          <w:color w:val="auto"/>
          <w:sz w:val="24"/>
          <w:szCs w:val="24"/>
          <w:lang w:val="zh-TW"/>
        </w:rPr>
        <w:t>发包人</w:t>
      </w:r>
      <w:r>
        <w:rPr>
          <w:rFonts w:hint="eastAsia" w:ascii="宋体" w:cs="宋体"/>
          <w:color w:val="auto"/>
          <w:spacing w:val="-4"/>
          <w:sz w:val="24"/>
          <w:szCs w:val="24"/>
        </w:rPr>
        <w:t>监督单位：</w:t>
      </w:r>
      <w:r>
        <w:rPr>
          <w:rFonts w:ascii="宋体" w:cs="宋体"/>
          <w:color w:val="auto"/>
          <w:spacing w:val="-4"/>
          <w:sz w:val="24"/>
          <w:szCs w:val="24"/>
          <w:u w:val="single"/>
        </w:rPr>
        <w:t>(</w:t>
      </w:r>
      <w:r>
        <w:rPr>
          <w:rFonts w:hint="eastAsia" w:ascii="宋体" w:cs="宋体"/>
          <w:color w:val="auto"/>
          <w:spacing w:val="-4"/>
          <w:sz w:val="24"/>
          <w:szCs w:val="24"/>
          <w:u w:val="single"/>
        </w:rPr>
        <w:t>全称</w:t>
      </w:r>
      <w:r>
        <w:rPr>
          <w:rFonts w:ascii="宋体" w:cs="宋体"/>
          <w:color w:val="auto"/>
          <w:spacing w:val="-4"/>
          <w:sz w:val="24"/>
          <w:szCs w:val="24"/>
          <w:u w:val="single"/>
        </w:rPr>
        <w:t>) (</w:t>
      </w:r>
      <w:r>
        <w:rPr>
          <w:rFonts w:hint="eastAsia" w:ascii="宋体" w:cs="宋体"/>
          <w:color w:val="auto"/>
          <w:spacing w:val="-4"/>
          <w:sz w:val="24"/>
          <w:szCs w:val="24"/>
          <w:u w:val="single"/>
        </w:rPr>
        <w:t>盖单位章</w:t>
      </w:r>
      <w:r>
        <w:rPr>
          <w:rFonts w:ascii="宋体" w:cs="宋体"/>
          <w:color w:val="auto"/>
          <w:spacing w:val="-4"/>
          <w:sz w:val="24"/>
          <w:szCs w:val="24"/>
          <w:u w:val="single"/>
        </w:rPr>
        <w:t>)</w:t>
      </w:r>
      <w:r>
        <w:rPr>
          <w:rFonts w:hint="eastAsia" w:ascii="宋体" w:cs="宋体"/>
          <w:color w:val="auto"/>
          <w:spacing w:val="-4"/>
          <w:sz w:val="24"/>
          <w:szCs w:val="24"/>
        </w:rPr>
        <w:t>勘察</w:t>
      </w:r>
      <w:r>
        <w:rPr>
          <w:rFonts w:hint="eastAsia" w:ascii="宋体" w:cs="宋体"/>
          <w:color w:val="auto"/>
          <w:sz w:val="24"/>
          <w:szCs w:val="24"/>
          <w:lang w:val="zh-TW"/>
        </w:rPr>
        <w:t>人</w:t>
      </w:r>
      <w:r>
        <w:rPr>
          <w:rFonts w:hint="eastAsia" w:ascii="宋体" w:cs="宋体"/>
          <w:color w:val="auto"/>
          <w:spacing w:val="-4"/>
          <w:sz w:val="24"/>
          <w:szCs w:val="24"/>
        </w:rPr>
        <w:t>监督单位：</w:t>
      </w:r>
      <w:r>
        <w:rPr>
          <w:rFonts w:ascii="宋体" w:cs="宋体"/>
          <w:color w:val="auto"/>
          <w:spacing w:val="-4"/>
          <w:sz w:val="24"/>
          <w:szCs w:val="24"/>
          <w:u w:val="single"/>
        </w:rPr>
        <w:t>(</w:t>
      </w:r>
      <w:r>
        <w:rPr>
          <w:rFonts w:hint="eastAsia" w:ascii="宋体" w:cs="宋体"/>
          <w:color w:val="auto"/>
          <w:spacing w:val="-4"/>
          <w:sz w:val="24"/>
          <w:szCs w:val="24"/>
          <w:u w:val="single"/>
        </w:rPr>
        <w:t>全称</w:t>
      </w:r>
      <w:r>
        <w:rPr>
          <w:rFonts w:ascii="宋体" w:cs="宋体"/>
          <w:color w:val="auto"/>
          <w:spacing w:val="-4"/>
          <w:sz w:val="24"/>
          <w:szCs w:val="24"/>
          <w:u w:val="single"/>
        </w:rPr>
        <w:t>) (</w:t>
      </w:r>
      <w:r>
        <w:rPr>
          <w:rFonts w:hint="eastAsia" w:ascii="宋体" w:cs="宋体"/>
          <w:color w:val="auto"/>
          <w:spacing w:val="-4"/>
          <w:sz w:val="24"/>
          <w:szCs w:val="24"/>
          <w:u w:val="single"/>
        </w:rPr>
        <w:t>盖单位章</w:t>
      </w:r>
      <w:r>
        <w:rPr>
          <w:rFonts w:ascii="宋体" w:cs="宋体"/>
          <w:color w:val="auto"/>
          <w:spacing w:val="-4"/>
          <w:sz w:val="24"/>
          <w:szCs w:val="24"/>
          <w:u w:val="single"/>
        </w:rPr>
        <w:t xml:space="preserve">) </w:t>
      </w:r>
    </w:p>
    <w:p>
      <w:pPr>
        <w:autoSpaceDE w:val="0"/>
        <w:autoSpaceDN w:val="0"/>
        <w:adjustRightInd w:val="0"/>
        <w:spacing w:line="360" w:lineRule="auto"/>
        <w:ind w:right="-42" w:rightChars="-20"/>
        <w:jc w:val="left"/>
        <w:rPr>
          <w:rFonts w:ascii="Times New Roman" w:cs="Times New Roman"/>
          <w:color w:val="auto"/>
          <w:spacing w:val="-4"/>
          <w:kern w:val="0"/>
          <w:sz w:val="24"/>
          <w:szCs w:val="24"/>
          <w:u w:val="single"/>
        </w:rPr>
      </w:pPr>
    </w:p>
    <w:p>
      <w:pPr>
        <w:pStyle w:val="50"/>
        <w:rPr>
          <w:rFonts w:cs="Times New Roman"/>
          <w:b/>
          <w:bCs/>
          <w:color w:val="auto"/>
        </w:rPr>
      </w:pPr>
      <w:r>
        <w:rPr>
          <w:rFonts w:cs="Times New Roman"/>
          <w:color w:val="auto"/>
        </w:rPr>
        <w:br w:type="page"/>
      </w:r>
      <w:r>
        <w:rPr>
          <w:rFonts w:hint="eastAsia" w:cs="宋体"/>
          <w:b/>
          <w:bCs/>
          <w:color w:val="auto"/>
        </w:rPr>
        <w:t>附件三分项负责人最低要求</w:t>
      </w:r>
    </w:p>
    <w:p>
      <w:pPr>
        <w:widowControl/>
        <w:jc w:val="center"/>
        <w:rPr>
          <w:rFonts w:cs="Times New Roman"/>
          <w:color w:val="auto"/>
          <w:sz w:val="24"/>
          <w:szCs w:val="24"/>
        </w:rPr>
      </w:pPr>
      <w:r>
        <w:rPr>
          <w:rFonts w:hint="eastAsia" w:cs="宋体"/>
          <w:color w:val="auto"/>
          <w:sz w:val="24"/>
          <w:szCs w:val="24"/>
        </w:rPr>
        <w:t>（本格式编排在招标文件中，供投标人参考，投标时不需附此表）</w:t>
      </w:r>
    </w:p>
    <w:p>
      <w:pPr>
        <w:autoSpaceDE w:val="0"/>
        <w:autoSpaceDN w:val="0"/>
        <w:snapToGrid w:val="0"/>
        <w:jc w:val="left"/>
        <w:rPr>
          <w:color w:val="auto"/>
        </w:rPr>
      </w:pPr>
    </w:p>
    <w:tbl>
      <w:tblPr>
        <w:tblStyle w:val="20"/>
        <w:tblW w:w="8910" w:type="dxa"/>
        <w:tblInd w:w="2" w:type="dxa"/>
        <w:tblLayout w:type="fixed"/>
        <w:tblCellMar>
          <w:top w:w="0" w:type="dxa"/>
          <w:left w:w="0" w:type="dxa"/>
          <w:bottom w:w="0" w:type="dxa"/>
          <w:right w:w="0" w:type="dxa"/>
        </w:tblCellMar>
      </w:tblPr>
      <w:tblGrid>
        <w:gridCol w:w="2455"/>
        <w:gridCol w:w="1943"/>
        <w:gridCol w:w="4512"/>
      </w:tblGrid>
      <w:tr>
        <w:tblPrEx>
          <w:tblCellMar>
            <w:top w:w="0" w:type="dxa"/>
            <w:left w:w="0" w:type="dxa"/>
            <w:bottom w:w="0" w:type="dxa"/>
            <w:right w:w="0" w:type="dxa"/>
          </w:tblCellMar>
        </w:tblPrEx>
        <w:trPr>
          <w:trHeight w:val="864" w:hRule="atLeast"/>
        </w:trPr>
        <w:tc>
          <w:tcPr>
            <w:tcW w:w="2455" w:type="dxa"/>
            <w:tcBorders>
              <w:top w:val="single" w:color="auto" w:sz="4" w:space="0"/>
              <w:left w:val="single" w:color="auto" w:sz="4" w:space="0"/>
              <w:bottom w:val="nil"/>
              <w:right w:val="nil"/>
            </w:tcBorders>
            <w:shd w:val="clear" w:color="auto" w:fill="FFFFFF"/>
            <w:vAlign w:val="center"/>
          </w:tcPr>
          <w:p>
            <w:pPr>
              <w:pStyle w:val="47"/>
              <w:autoSpaceDE w:val="0"/>
              <w:spacing w:before="0" w:line="240" w:lineRule="auto"/>
              <w:jc w:val="center"/>
              <w:rPr>
                <w:rFonts w:ascii="宋体" w:hAnsi="宋体" w:eastAsia="宋体" w:cs="Times New Roman"/>
                <w:color w:val="auto"/>
                <w:sz w:val="24"/>
                <w:szCs w:val="24"/>
              </w:rPr>
            </w:pPr>
            <w:r>
              <w:rPr>
                <w:rStyle w:val="44"/>
                <w:rFonts w:hint="eastAsia" w:ascii="宋体" w:hAnsi="宋体" w:eastAsia="宋体" w:cs="宋体"/>
                <w:color w:val="auto"/>
                <w:sz w:val="24"/>
                <w:szCs w:val="24"/>
              </w:rPr>
              <w:t>人员</w:t>
            </w:r>
          </w:p>
        </w:tc>
        <w:tc>
          <w:tcPr>
            <w:tcW w:w="1943" w:type="dxa"/>
            <w:tcBorders>
              <w:top w:val="single" w:color="auto" w:sz="4" w:space="0"/>
              <w:left w:val="single" w:color="auto" w:sz="4" w:space="0"/>
              <w:bottom w:val="nil"/>
              <w:right w:val="nil"/>
            </w:tcBorders>
            <w:shd w:val="clear" w:color="auto" w:fill="FFFFFF"/>
            <w:vAlign w:val="center"/>
          </w:tcPr>
          <w:p>
            <w:pPr>
              <w:pStyle w:val="47"/>
              <w:autoSpaceDE w:val="0"/>
              <w:spacing w:before="0" w:line="240" w:lineRule="auto"/>
              <w:jc w:val="center"/>
              <w:rPr>
                <w:rFonts w:ascii="宋体" w:hAnsi="宋体" w:eastAsia="宋体" w:cs="Times New Roman"/>
                <w:color w:val="auto"/>
                <w:sz w:val="24"/>
                <w:szCs w:val="24"/>
              </w:rPr>
            </w:pPr>
            <w:r>
              <w:rPr>
                <w:rStyle w:val="44"/>
                <w:rFonts w:hint="eastAsia" w:ascii="宋体" w:hAnsi="宋体" w:eastAsia="宋体" w:cs="宋体"/>
                <w:color w:val="auto"/>
                <w:sz w:val="24"/>
                <w:szCs w:val="24"/>
              </w:rPr>
              <w:t>数量</w:t>
            </w:r>
          </w:p>
        </w:tc>
        <w:tc>
          <w:tcPr>
            <w:tcW w:w="4512" w:type="dxa"/>
            <w:tcBorders>
              <w:top w:val="single" w:color="auto" w:sz="4" w:space="0"/>
              <w:left w:val="single" w:color="auto" w:sz="4" w:space="0"/>
              <w:bottom w:val="nil"/>
              <w:right w:val="single" w:color="auto" w:sz="4" w:space="0"/>
            </w:tcBorders>
            <w:shd w:val="clear" w:color="auto" w:fill="FFFFFF"/>
            <w:vAlign w:val="center"/>
          </w:tcPr>
          <w:p>
            <w:pPr>
              <w:pStyle w:val="47"/>
              <w:autoSpaceDE w:val="0"/>
              <w:spacing w:before="0" w:line="240" w:lineRule="auto"/>
              <w:jc w:val="center"/>
              <w:rPr>
                <w:rFonts w:ascii="宋体" w:hAnsi="宋体" w:eastAsia="宋体" w:cs="Times New Roman"/>
                <w:color w:val="auto"/>
                <w:sz w:val="24"/>
                <w:szCs w:val="24"/>
              </w:rPr>
            </w:pPr>
            <w:r>
              <w:rPr>
                <w:rStyle w:val="43"/>
                <w:rFonts w:hint="eastAsia" w:ascii="宋体" w:hAnsi="宋体" w:eastAsia="宋体" w:cs="宋体"/>
                <w:color w:val="auto"/>
                <w:sz w:val="24"/>
                <w:szCs w:val="24"/>
              </w:rPr>
              <w:t>资格要求</w:t>
            </w:r>
          </w:p>
        </w:tc>
      </w:tr>
      <w:tr>
        <w:tblPrEx>
          <w:tblCellMar>
            <w:top w:w="0" w:type="dxa"/>
            <w:left w:w="0" w:type="dxa"/>
            <w:bottom w:w="0" w:type="dxa"/>
            <w:right w:w="0" w:type="dxa"/>
          </w:tblCellMar>
        </w:tblPrEx>
        <w:trPr>
          <w:trHeight w:val="634" w:hRule="atLeast"/>
        </w:trPr>
        <w:tc>
          <w:tcPr>
            <w:tcW w:w="2455" w:type="dxa"/>
            <w:tcBorders>
              <w:top w:val="single" w:color="auto" w:sz="4" w:space="0"/>
              <w:left w:val="single" w:color="auto" w:sz="4" w:space="0"/>
              <w:bottom w:val="nil"/>
              <w:right w:val="nil"/>
            </w:tcBorders>
            <w:shd w:val="clear" w:color="auto" w:fill="FFFFFF"/>
            <w:vAlign w:val="center"/>
          </w:tcPr>
          <w:p>
            <w:pPr>
              <w:pStyle w:val="47"/>
              <w:spacing w:before="0" w:line="220" w:lineRule="exact"/>
              <w:jc w:val="center"/>
              <w:rPr>
                <w:rFonts w:cs="Times New Roman"/>
                <w:color w:val="auto"/>
                <w:sz w:val="10"/>
                <w:szCs w:val="10"/>
              </w:rPr>
            </w:pPr>
            <w:r>
              <w:rPr>
                <w:rStyle w:val="56"/>
                <w:rFonts w:hint="eastAsia"/>
                <w:color w:val="auto"/>
                <w:lang w:val="zh-TW"/>
              </w:rPr>
              <w:t>勘察分项负责人</w:t>
            </w:r>
          </w:p>
        </w:tc>
        <w:tc>
          <w:tcPr>
            <w:tcW w:w="1943" w:type="dxa"/>
            <w:tcBorders>
              <w:top w:val="single" w:color="auto" w:sz="4" w:space="0"/>
              <w:left w:val="single" w:color="auto" w:sz="4" w:space="0"/>
              <w:bottom w:val="nil"/>
              <w:right w:val="nil"/>
            </w:tcBorders>
            <w:shd w:val="clear" w:color="auto" w:fill="FFFFFF"/>
            <w:vAlign w:val="center"/>
          </w:tcPr>
          <w:p>
            <w:pPr>
              <w:pStyle w:val="47"/>
              <w:spacing w:before="0" w:line="220" w:lineRule="exact"/>
              <w:jc w:val="center"/>
              <w:rPr>
                <w:rFonts w:cs="Times New Roman"/>
                <w:color w:val="auto"/>
                <w:sz w:val="10"/>
                <w:szCs w:val="10"/>
              </w:rPr>
            </w:pPr>
            <w:r>
              <w:rPr>
                <w:rStyle w:val="56"/>
                <w:color w:val="auto"/>
                <w:lang w:val="zh-TW"/>
              </w:rPr>
              <w:t>1</w:t>
            </w:r>
          </w:p>
        </w:tc>
        <w:tc>
          <w:tcPr>
            <w:tcW w:w="4512" w:type="dxa"/>
            <w:tcBorders>
              <w:top w:val="single" w:color="auto" w:sz="4" w:space="0"/>
              <w:left w:val="single" w:color="auto" w:sz="4" w:space="0"/>
              <w:bottom w:val="nil"/>
              <w:right w:val="single" w:color="auto" w:sz="4" w:space="0"/>
            </w:tcBorders>
            <w:shd w:val="clear" w:color="auto" w:fill="FFFFFF"/>
            <w:vAlign w:val="center"/>
          </w:tcPr>
          <w:p>
            <w:pPr>
              <w:pStyle w:val="47"/>
              <w:spacing w:before="0" w:line="220" w:lineRule="exact"/>
              <w:jc w:val="center"/>
              <w:rPr>
                <w:rFonts w:cs="Times New Roman"/>
                <w:color w:val="auto"/>
                <w:sz w:val="10"/>
                <w:szCs w:val="10"/>
              </w:rPr>
            </w:pPr>
            <w:r>
              <w:rPr>
                <w:rStyle w:val="56"/>
                <w:rFonts w:hint="eastAsia"/>
                <w:color w:val="auto"/>
              </w:rPr>
              <w:t>高级工程师</w:t>
            </w:r>
          </w:p>
        </w:tc>
      </w:tr>
      <w:tr>
        <w:tblPrEx>
          <w:tblCellMar>
            <w:top w:w="0" w:type="dxa"/>
            <w:left w:w="0" w:type="dxa"/>
            <w:bottom w:w="0" w:type="dxa"/>
            <w:right w:w="0" w:type="dxa"/>
          </w:tblCellMar>
        </w:tblPrEx>
        <w:trPr>
          <w:trHeight w:val="634" w:hRule="atLeast"/>
        </w:trPr>
        <w:tc>
          <w:tcPr>
            <w:tcW w:w="2455" w:type="dxa"/>
            <w:tcBorders>
              <w:top w:val="single" w:color="auto" w:sz="4" w:space="0"/>
              <w:left w:val="single" w:color="auto" w:sz="4" w:space="0"/>
              <w:bottom w:val="nil"/>
              <w:right w:val="nil"/>
            </w:tcBorders>
            <w:shd w:val="clear" w:color="auto" w:fill="FFFFFF"/>
            <w:vAlign w:val="center"/>
          </w:tcPr>
          <w:p>
            <w:pPr>
              <w:pStyle w:val="47"/>
              <w:spacing w:before="0" w:line="220" w:lineRule="exact"/>
              <w:jc w:val="center"/>
              <w:rPr>
                <w:rFonts w:cs="Times New Roman"/>
                <w:color w:val="auto"/>
                <w:sz w:val="10"/>
                <w:szCs w:val="10"/>
              </w:rPr>
            </w:pPr>
            <w:r>
              <w:rPr>
                <w:rStyle w:val="56"/>
                <w:rFonts w:hint="eastAsia"/>
                <w:color w:val="auto"/>
                <w:lang w:val="zh-TW"/>
              </w:rPr>
              <w:t>后续服务负责人</w:t>
            </w:r>
          </w:p>
        </w:tc>
        <w:tc>
          <w:tcPr>
            <w:tcW w:w="1943" w:type="dxa"/>
            <w:tcBorders>
              <w:top w:val="single" w:color="auto" w:sz="4" w:space="0"/>
              <w:left w:val="single" w:color="auto" w:sz="4" w:space="0"/>
              <w:bottom w:val="nil"/>
              <w:right w:val="nil"/>
            </w:tcBorders>
            <w:shd w:val="clear" w:color="auto" w:fill="FFFFFF"/>
            <w:vAlign w:val="center"/>
          </w:tcPr>
          <w:p>
            <w:pPr>
              <w:pStyle w:val="47"/>
              <w:spacing w:before="0" w:line="220" w:lineRule="exact"/>
              <w:jc w:val="center"/>
              <w:rPr>
                <w:rFonts w:cs="Times New Roman"/>
                <w:color w:val="auto"/>
                <w:sz w:val="10"/>
                <w:szCs w:val="10"/>
              </w:rPr>
            </w:pPr>
            <w:r>
              <w:rPr>
                <w:rStyle w:val="56"/>
                <w:rFonts w:ascii="宋体" w:hAnsi="宋体" w:eastAsia="宋体" w:cs="宋体"/>
                <w:color w:val="auto"/>
                <w:lang w:val="zh-TW"/>
              </w:rPr>
              <w:t>1</w:t>
            </w:r>
          </w:p>
        </w:tc>
        <w:tc>
          <w:tcPr>
            <w:tcW w:w="4512" w:type="dxa"/>
            <w:tcBorders>
              <w:top w:val="single" w:color="auto" w:sz="4" w:space="0"/>
              <w:left w:val="single" w:color="auto" w:sz="4" w:space="0"/>
              <w:bottom w:val="nil"/>
              <w:right w:val="single" w:color="auto" w:sz="4" w:space="0"/>
            </w:tcBorders>
            <w:shd w:val="clear" w:color="auto" w:fill="FFFFFF"/>
            <w:vAlign w:val="center"/>
          </w:tcPr>
          <w:p>
            <w:pPr>
              <w:pStyle w:val="47"/>
              <w:spacing w:before="0" w:line="220" w:lineRule="exact"/>
              <w:jc w:val="center"/>
              <w:rPr>
                <w:rFonts w:cs="Times New Roman"/>
                <w:color w:val="auto"/>
                <w:sz w:val="10"/>
                <w:szCs w:val="10"/>
              </w:rPr>
            </w:pPr>
            <w:r>
              <w:rPr>
                <w:rStyle w:val="56"/>
                <w:rFonts w:hint="eastAsia"/>
                <w:color w:val="auto"/>
              </w:rPr>
              <w:t>高级工程师</w:t>
            </w:r>
          </w:p>
        </w:tc>
      </w:tr>
      <w:tr>
        <w:tblPrEx>
          <w:tblCellMar>
            <w:top w:w="0" w:type="dxa"/>
            <w:left w:w="0" w:type="dxa"/>
            <w:bottom w:w="0" w:type="dxa"/>
            <w:right w:w="0" w:type="dxa"/>
          </w:tblCellMar>
        </w:tblPrEx>
        <w:trPr>
          <w:trHeight w:val="634" w:hRule="atLeast"/>
        </w:trPr>
        <w:tc>
          <w:tcPr>
            <w:tcW w:w="2455" w:type="dxa"/>
            <w:tcBorders>
              <w:top w:val="single" w:color="auto" w:sz="4" w:space="0"/>
              <w:left w:val="single" w:color="auto" w:sz="4" w:space="0"/>
              <w:bottom w:val="nil"/>
              <w:right w:val="nil"/>
            </w:tcBorders>
            <w:shd w:val="clear" w:color="auto" w:fill="FFFFFF"/>
            <w:vAlign w:val="center"/>
          </w:tcPr>
          <w:p>
            <w:pPr>
              <w:autoSpaceDE w:val="0"/>
              <w:autoSpaceDN w:val="0"/>
              <w:adjustRightInd w:val="0"/>
              <w:jc w:val="center"/>
              <w:rPr>
                <w:rFonts w:cs="Times New Roman"/>
                <w:color w:val="auto"/>
                <w:kern w:val="0"/>
                <w:sz w:val="24"/>
                <w:szCs w:val="24"/>
              </w:rPr>
            </w:pPr>
          </w:p>
        </w:tc>
        <w:tc>
          <w:tcPr>
            <w:tcW w:w="1943" w:type="dxa"/>
            <w:tcBorders>
              <w:top w:val="single" w:color="auto" w:sz="4" w:space="0"/>
              <w:left w:val="single" w:color="auto" w:sz="4" w:space="0"/>
              <w:bottom w:val="nil"/>
              <w:right w:val="nil"/>
            </w:tcBorders>
            <w:shd w:val="clear" w:color="auto" w:fill="FFFFFF"/>
            <w:vAlign w:val="center"/>
          </w:tcPr>
          <w:p>
            <w:pPr>
              <w:autoSpaceDE w:val="0"/>
              <w:autoSpaceDN w:val="0"/>
              <w:adjustRightInd w:val="0"/>
              <w:jc w:val="center"/>
              <w:rPr>
                <w:rFonts w:cs="Times New Roman"/>
                <w:color w:val="auto"/>
                <w:kern w:val="0"/>
                <w:sz w:val="24"/>
                <w:szCs w:val="24"/>
              </w:rPr>
            </w:pPr>
          </w:p>
        </w:tc>
        <w:tc>
          <w:tcPr>
            <w:tcW w:w="4512" w:type="dxa"/>
            <w:tcBorders>
              <w:top w:val="single" w:color="auto" w:sz="4" w:space="0"/>
              <w:left w:val="single" w:color="auto" w:sz="4" w:space="0"/>
              <w:bottom w:val="nil"/>
              <w:right w:val="single" w:color="auto" w:sz="4" w:space="0"/>
            </w:tcBorders>
            <w:shd w:val="clear" w:color="auto" w:fill="FFFFFF"/>
            <w:vAlign w:val="center"/>
          </w:tcPr>
          <w:p>
            <w:pPr>
              <w:autoSpaceDE w:val="0"/>
              <w:autoSpaceDN w:val="0"/>
              <w:adjustRightInd w:val="0"/>
              <w:rPr>
                <w:rFonts w:cs="Times New Roman"/>
                <w:color w:val="auto"/>
                <w:kern w:val="0"/>
                <w:sz w:val="24"/>
                <w:szCs w:val="24"/>
              </w:rPr>
            </w:pPr>
          </w:p>
        </w:tc>
      </w:tr>
      <w:tr>
        <w:tblPrEx>
          <w:tblCellMar>
            <w:top w:w="0" w:type="dxa"/>
            <w:left w:w="0" w:type="dxa"/>
            <w:bottom w:w="0" w:type="dxa"/>
            <w:right w:w="0" w:type="dxa"/>
          </w:tblCellMar>
        </w:tblPrEx>
        <w:trPr>
          <w:trHeight w:val="634" w:hRule="atLeast"/>
        </w:trPr>
        <w:tc>
          <w:tcPr>
            <w:tcW w:w="2455" w:type="dxa"/>
            <w:tcBorders>
              <w:top w:val="single" w:color="auto" w:sz="4" w:space="0"/>
              <w:left w:val="single" w:color="auto" w:sz="4" w:space="0"/>
              <w:bottom w:val="nil"/>
              <w:right w:val="nil"/>
            </w:tcBorders>
            <w:shd w:val="clear" w:color="auto" w:fill="FFFFFF"/>
          </w:tcPr>
          <w:p>
            <w:pPr>
              <w:autoSpaceDE w:val="0"/>
              <w:rPr>
                <w:rFonts w:cs="Times New Roman"/>
                <w:color w:val="auto"/>
                <w:sz w:val="10"/>
                <w:szCs w:val="10"/>
              </w:rPr>
            </w:pPr>
          </w:p>
        </w:tc>
        <w:tc>
          <w:tcPr>
            <w:tcW w:w="1943" w:type="dxa"/>
            <w:tcBorders>
              <w:top w:val="single" w:color="auto" w:sz="4" w:space="0"/>
              <w:left w:val="single" w:color="auto" w:sz="4" w:space="0"/>
              <w:bottom w:val="nil"/>
              <w:right w:val="nil"/>
            </w:tcBorders>
            <w:shd w:val="clear" w:color="auto" w:fill="FFFFFF"/>
          </w:tcPr>
          <w:p>
            <w:pPr>
              <w:autoSpaceDE w:val="0"/>
              <w:rPr>
                <w:rFonts w:cs="Times New Roman"/>
                <w:color w:val="auto"/>
                <w:sz w:val="10"/>
                <w:szCs w:val="10"/>
              </w:rPr>
            </w:pPr>
          </w:p>
        </w:tc>
        <w:tc>
          <w:tcPr>
            <w:tcW w:w="4512" w:type="dxa"/>
            <w:tcBorders>
              <w:top w:val="single" w:color="auto" w:sz="4" w:space="0"/>
              <w:left w:val="single" w:color="auto" w:sz="4" w:space="0"/>
              <w:bottom w:val="nil"/>
              <w:right w:val="single" w:color="auto" w:sz="4" w:space="0"/>
            </w:tcBorders>
            <w:shd w:val="clear" w:color="auto" w:fill="FFFFFF"/>
          </w:tcPr>
          <w:p>
            <w:pPr>
              <w:autoSpaceDE w:val="0"/>
              <w:rPr>
                <w:rFonts w:cs="Times New Roman"/>
                <w:color w:val="auto"/>
                <w:sz w:val="10"/>
                <w:szCs w:val="10"/>
              </w:rPr>
            </w:pPr>
          </w:p>
        </w:tc>
      </w:tr>
      <w:tr>
        <w:tblPrEx>
          <w:tblCellMar>
            <w:top w:w="0" w:type="dxa"/>
            <w:left w:w="0" w:type="dxa"/>
            <w:bottom w:w="0" w:type="dxa"/>
            <w:right w:w="0" w:type="dxa"/>
          </w:tblCellMar>
        </w:tblPrEx>
        <w:trPr>
          <w:trHeight w:val="638" w:hRule="atLeast"/>
        </w:trPr>
        <w:tc>
          <w:tcPr>
            <w:tcW w:w="2455" w:type="dxa"/>
            <w:tcBorders>
              <w:top w:val="single" w:color="auto" w:sz="4" w:space="0"/>
              <w:left w:val="single" w:color="auto" w:sz="4" w:space="0"/>
              <w:bottom w:val="nil"/>
              <w:right w:val="nil"/>
            </w:tcBorders>
            <w:shd w:val="clear" w:color="auto" w:fill="FFFFFF"/>
          </w:tcPr>
          <w:p>
            <w:pPr>
              <w:autoSpaceDE w:val="0"/>
              <w:rPr>
                <w:rFonts w:cs="Times New Roman"/>
                <w:color w:val="auto"/>
                <w:sz w:val="10"/>
                <w:szCs w:val="10"/>
              </w:rPr>
            </w:pPr>
          </w:p>
        </w:tc>
        <w:tc>
          <w:tcPr>
            <w:tcW w:w="1943" w:type="dxa"/>
            <w:tcBorders>
              <w:top w:val="single" w:color="auto" w:sz="4" w:space="0"/>
              <w:left w:val="single" w:color="auto" w:sz="4" w:space="0"/>
              <w:bottom w:val="nil"/>
              <w:right w:val="nil"/>
            </w:tcBorders>
            <w:shd w:val="clear" w:color="auto" w:fill="FFFFFF"/>
          </w:tcPr>
          <w:p>
            <w:pPr>
              <w:autoSpaceDE w:val="0"/>
              <w:rPr>
                <w:rFonts w:cs="Times New Roman"/>
                <w:color w:val="auto"/>
                <w:sz w:val="10"/>
                <w:szCs w:val="10"/>
              </w:rPr>
            </w:pPr>
          </w:p>
        </w:tc>
        <w:tc>
          <w:tcPr>
            <w:tcW w:w="4512" w:type="dxa"/>
            <w:tcBorders>
              <w:top w:val="single" w:color="auto" w:sz="4" w:space="0"/>
              <w:left w:val="single" w:color="auto" w:sz="4" w:space="0"/>
              <w:bottom w:val="nil"/>
              <w:right w:val="single" w:color="auto" w:sz="4" w:space="0"/>
            </w:tcBorders>
            <w:shd w:val="clear" w:color="auto" w:fill="FFFFFF"/>
          </w:tcPr>
          <w:p>
            <w:pPr>
              <w:autoSpaceDE w:val="0"/>
              <w:rPr>
                <w:rFonts w:cs="Times New Roman"/>
                <w:color w:val="auto"/>
                <w:sz w:val="10"/>
                <w:szCs w:val="10"/>
              </w:rPr>
            </w:pPr>
          </w:p>
        </w:tc>
      </w:tr>
      <w:tr>
        <w:tblPrEx>
          <w:tblCellMar>
            <w:top w:w="0" w:type="dxa"/>
            <w:left w:w="0" w:type="dxa"/>
            <w:bottom w:w="0" w:type="dxa"/>
            <w:right w:w="0" w:type="dxa"/>
          </w:tblCellMar>
        </w:tblPrEx>
        <w:trPr>
          <w:trHeight w:val="634" w:hRule="atLeast"/>
        </w:trPr>
        <w:tc>
          <w:tcPr>
            <w:tcW w:w="2455" w:type="dxa"/>
            <w:tcBorders>
              <w:top w:val="single" w:color="auto" w:sz="4" w:space="0"/>
              <w:left w:val="single" w:color="auto" w:sz="4" w:space="0"/>
              <w:bottom w:val="nil"/>
              <w:right w:val="nil"/>
            </w:tcBorders>
            <w:shd w:val="clear" w:color="auto" w:fill="FFFFFF"/>
          </w:tcPr>
          <w:p>
            <w:pPr>
              <w:autoSpaceDE w:val="0"/>
              <w:rPr>
                <w:rFonts w:cs="Times New Roman"/>
                <w:color w:val="auto"/>
                <w:sz w:val="10"/>
                <w:szCs w:val="10"/>
              </w:rPr>
            </w:pPr>
          </w:p>
        </w:tc>
        <w:tc>
          <w:tcPr>
            <w:tcW w:w="1943" w:type="dxa"/>
            <w:tcBorders>
              <w:top w:val="single" w:color="auto" w:sz="4" w:space="0"/>
              <w:left w:val="single" w:color="auto" w:sz="4" w:space="0"/>
              <w:bottom w:val="nil"/>
              <w:right w:val="nil"/>
            </w:tcBorders>
            <w:shd w:val="clear" w:color="auto" w:fill="FFFFFF"/>
          </w:tcPr>
          <w:p>
            <w:pPr>
              <w:autoSpaceDE w:val="0"/>
              <w:rPr>
                <w:rFonts w:cs="Times New Roman"/>
                <w:color w:val="auto"/>
                <w:sz w:val="10"/>
                <w:szCs w:val="10"/>
              </w:rPr>
            </w:pPr>
          </w:p>
        </w:tc>
        <w:tc>
          <w:tcPr>
            <w:tcW w:w="4512" w:type="dxa"/>
            <w:tcBorders>
              <w:top w:val="single" w:color="auto" w:sz="4" w:space="0"/>
              <w:left w:val="single" w:color="auto" w:sz="4" w:space="0"/>
              <w:bottom w:val="nil"/>
              <w:right w:val="single" w:color="auto" w:sz="4" w:space="0"/>
            </w:tcBorders>
            <w:shd w:val="clear" w:color="auto" w:fill="FFFFFF"/>
          </w:tcPr>
          <w:p>
            <w:pPr>
              <w:autoSpaceDE w:val="0"/>
              <w:rPr>
                <w:rFonts w:cs="Times New Roman"/>
                <w:color w:val="auto"/>
                <w:sz w:val="10"/>
                <w:szCs w:val="10"/>
              </w:rPr>
            </w:pPr>
          </w:p>
        </w:tc>
      </w:tr>
      <w:tr>
        <w:tblPrEx>
          <w:tblCellMar>
            <w:top w:w="0" w:type="dxa"/>
            <w:left w:w="0" w:type="dxa"/>
            <w:bottom w:w="0" w:type="dxa"/>
            <w:right w:w="0" w:type="dxa"/>
          </w:tblCellMar>
        </w:tblPrEx>
        <w:trPr>
          <w:trHeight w:val="634" w:hRule="atLeast"/>
        </w:trPr>
        <w:tc>
          <w:tcPr>
            <w:tcW w:w="2455" w:type="dxa"/>
            <w:tcBorders>
              <w:top w:val="single" w:color="auto" w:sz="4" w:space="0"/>
              <w:left w:val="single" w:color="auto" w:sz="4" w:space="0"/>
              <w:bottom w:val="nil"/>
              <w:right w:val="nil"/>
            </w:tcBorders>
            <w:shd w:val="clear" w:color="auto" w:fill="FFFFFF"/>
          </w:tcPr>
          <w:p>
            <w:pPr>
              <w:autoSpaceDE w:val="0"/>
              <w:rPr>
                <w:rFonts w:cs="Times New Roman"/>
                <w:color w:val="auto"/>
                <w:sz w:val="10"/>
                <w:szCs w:val="10"/>
              </w:rPr>
            </w:pPr>
          </w:p>
        </w:tc>
        <w:tc>
          <w:tcPr>
            <w:tcW w:w="1943" w:type="dxa"/>
            <w:tcBorders>
              <w:top w:val="single" w:color="auto" w:sz="4" w:space="0"/>
              <w:left w:val="single" w:color="auto" w:sz="4" w:space="0"/>
              <w:bottom w:val="nil"/>
              <w:right w:val="nil"/>
            </w:tcBorders>
            <w:shd w:val="clear" w:color="auto" w:fill="FFFFFF"/>
          </w:tcPr>
          <w:p>
            <w:pPr>
              <w:autoSpaceDE w:val="0"/>
              <w:rPr>
                <w:rFonts w:cs="Times New Roman"/>
                <w:color w:val="auto"/>
                <w:sz w:val="10"/>
                <w:szCs w:val="10"/>
              </w:rPr>
            </w:pPr>
          </w:p>
        </w:tc>
        <w:tc>
          <w:tcPr>
            <w:tcW w:w="4512" w:type="dxa"/>
            <w:tcBorders>
              <w:top w:val="single" w:color="auto" w:sz="4" w:space="0"/>
              <w:left w:val="single" w:color="auto" w:sz="4" w:space="0"/>
              <w:bottom w:val="nil"/>
              <w:right w:val="single" w:color="auto" w:sz="4" w:space="0"/>
            </w:tcBorders>
            <w:shd w:val="clear" w:color="auto" w:fill="FFFFFF"/>
          </w:tcPr>
          <w:p>
            <w:pPr>
              <w:autoSpaceDE w:val="0"/>
              <w:rPr>
                <w:rFonts w:cs="Times New Roman"/>
                <w:color w:val="auto"/>
                <w:sz w:val="10"/>
                <w:szCs w:val="10"/>
              </w:rPr>
            </w:pPr>
          </w:p>
        </w:tc>
      </w:tr>
      <w:tr>
        <w:tblPrEx>
          <w:tblCellMar>
            <w:top w:w="0" w:type="dxa"/>
            <w:left w:w="0" w:type="dxa"/>
            <w:bottom w:w="0" w:type="dxa"/>
            <w:right w:w="0" w:type="dxa"/>
          </w:tblCellMar>
        </w:tblPrEx>
        <w:trPr>
          <w:trHeight w:val="634" w:hRule="atLeast"/>
        </w:trPr>
        <w:tc>
          <w:tcPr>
            <w:tcW w:w="2455" w:type="dxa"/>
            <w:tcBorders>
              <w:top w:val="single" w:color="auto" w:sz="4" w:space="0"/>
              <w:left w:val="single" w:color="auto" w:sz="4" w:space="0"/>
              <w:bottom w:val="nil"/>
              <w:right w:val="nil"/>
            </w:tcBorders>
            <w:shd w:val="clear" w:color="auto" w:fill="FFFFFF"/>
          </w:tcPr>
          <w:p>
            <w:pPr>
              <w:autoSpaceDE w:val="0"/>
              <w:rPr>
                <w:rFonts w:cs="Times New Roman"/>
                <w:color w:val="auto"/>
                <w:sz w:val="10"/>
                <w:szCs w:val="10"/>
              </w:rPr>
            </w:pPr>
          </w:p>
        </w:tc>
        <w:tc>
          <w:tcPr>
            <w:tcW w:w="1943" w:type="dxa"/>
            <w:tcBorders>
              <w:top w:val="single" w:color="auto" w:sz="4" w:space="0"/>
              <w:left w:val="single" w:color="auto" w:sz="4" w:space="0"/>
              <w:bottom w:val="nil"/>
              <w:right w:val="nil"/>
            </w:tcBorders>
            <w:shd w:val="clear" w:color="auto" w:fill="FFFFFF"/>
          </w:tcPr>
          <w:p>
            <w:pPr>
              <w:autoSpaceDE w:val="0"/>
              <w:rPr>
                <w:rFonts w:cs="Times New Roman"/>
                <w:color w:val="auto"/>
                <w:sz w:val="10"/>
                <w:szCs w:val="10"/>
              </w:rPr>
            </w:pPr>
          </w:p>
        </w:tc>
        <w:tc>
          <w:tcPr>
            <w:tcW w:w="4512" w:type="dxa"/>
            <w:tcBorders>
              <w:top w:val="single" w:color="auto" w:sz="4" w:space="0"/>
              <w:left w:val="single" w:color="auto" w:sz="4" w:space="0"/>
              <w:bottom w:val="nil"/>
              <w:right w:val="single" w:color="auto" w:sz="4" w:space="0"/>
            </w:tcBorders>
            <w:shd w:val="clear" w:color="auto" w:fill="FFFFFF"/>
          </w:tcPr>
          <w:p>
            <w:pPr>
              <w:autoSpaceDE w:val="0"/>
              <w:rPr>
                <w:rFonts w:cs="Times New Roman"/>
                <w:color w:val="auto"/>
                <w:sz w:val="10"/>
                <w:szCs w:val="10"/>
              </w:rPr>
            </w:pPr>
          </w:p>
        </w:tc>
      </w:tr>
      <w:tr>
        <w:tblPrEx>
          <w:tblCellMar>
            <w:top w:w="0" w:type="dxa"/>
            <w:left w:w="0" w:type="dxa"/>
            <w:bottom w:w="0" w:type="dxa"/>
            <w:right w:w="0" w:type="dxa"/>
          </w:tblCellMar>
        </w:tblPrEx>
        <w:trPr>
          <w:trHeight w:val="634" w:hRule="atLeast"/>
        </w:trPr>
        <w:tc>
          <w:tcPr>
            <w:tcW w:w="2455" w:type="dxa"/>
            <w:tcBorders>
              <w:top w:val="single" w:color="auto" w:sz="4" w:space="0"/>
              <w:left w:val="single" w:color="auto" w:sz="4" w:space="0"/>
              <w:bottom w:val="nil"/>
              <w:right w:val="nil"/>
            </w:tcBorders>
            <w:shd w:val="clear" w:color="auto" w:fill="FFFFFF"/>
          </w:tcPr>
          <w:p>
            <w:pPr>
              <w:autoSpaceDE w:val="0"/>
              <w:rPr>
                <w:rFonts w:cs="Times New Roman"/>
                <w:color w:val="auto"/>
                <w:sz w:val="10"/>
                <w:szCs w:val="10"/>
              </w:rPr>
            </w:pPr>
          </w:p>
        </w:tc>
        <w:tc>
          <w:tcPr>
            <w:tcW w:w="1943" w:type="dxa"/>
            <w:tcBorders>
              <w:top w:val="single" w:color="auto" w:sz="4" w:space="0"/>
              <w:left w:val="single" w:color="auto" w:sz="4" w:space="0"/>
              <w:bottom w:val="nil"/>
              <w:right w:val="nil"/>
            </w:tcBorders>
            <w:shd w:val="clear" w:color="auto" w:fill="FFFFFF"/>
          </w:tcPr>
          <w:p>
            <w:pPr>
              <w:autoSpaceDE w:val="0"/>
              <w:rPr>
                <w:rFonts w:cs="Times New Roman"/>
                <w:color w:val="auto"/>
                <w:sz w:val="10"/>
                <w:szCs w:val="10"/>
              </w:rPr>
            </w:pPr>
          </w:p>
        </w:tc>
        <w:tc>
          <w:tcPr>
            <w:tcW w:w="4512" w:type="dxa"/>
            <w:tcBorders>
              <w:top w:val="single" w:color="auto" w:sz="4" w:space="0"/>
              <w:left w:val="single" w:color="auto" w:sz="4" w:space="0"/>
              <w:bottom w:val="nil"/>
              <w:right w:val="single" w:color="auto" w:sz="4" w:space="0"/>
            </w:tcBorders>
            <w:shd w:val="clear" w:color="auto" w:fill="FFFFFF"/>
          </w:tcPr>
          <w:p>
            <w:pPr>
              <w:autoSpaceDE w:val="0"/>
              <w:rPr>
                <w:rFonts w:cs="Times New Roman"/>
                <w:color w:val="auto"/>
                <w:sz w:val="10"/>
                <w:szCs w:val="10"/>
              </w:rPr>
            </w:pPr>
          </w:p>
        </w:tc>
      </w:tr>
      <w:tr>
        <w:tblPrEx>
          <w:tblCellMar>
            <w:top w:w="0" w:type="dxa"/>
            <w:left w:w="0" w:type="dxa"/>
            <w:bottom w:w="0" w:type="dxa"/>
            <w:right w:w="0" w:type="dxa"/>
          </w:tblCellMar>
        </w:tblPrEx>
        <w:trPr>
          <w:trHeight w:val="634" w:hRule="atLeast"/>
        </w:trPr>
        <w:tc>
          <w:tcPr>
            <w:tcW w:w="2455" w:type="dxa"/>
            <w:tcBorders>
              <w:top w:val="single" w:color="auto" w:sz="4" w:space="0"/>
              <w:left w:val="single" w:color="auto" w:sz="4" w:space="0"/>
              <w:bottom w:val="nil"/>
              <w:right w:val="nil"/>
            </w:tcBorders>
            <w:shd w:val="clear" w:color="auto" w:fill="FFFFFF"/>
          </w:tcPr>
          <w:p>
            <w:pPr>
              <w:autoSpaceDE w:val="0"/>
              <w:rPr>
                <w:rFonts w:cs="Times New Roman"/>
                <w:color w:val="auto"/>
                <w:sz w:val="10"/>
                <w:szCs w:val="10"/>
              </w:rPr>
            </w:pPr>
          </w:p>
        </w:tc>
        <w:tc>
          <w:tcPr>
            <w:tcW w:w="1943" w:type="dxa"/>
            <w:tcBorders>
              <w:top w:val="single" w:color="auto" w:sz="4" w:space="0"/>
              <w:left w:val="single" w:color="auto" w:sz="4" w:space="0"/>
              <w:bottom w:val="nil"/>
              <w:right w:val="nil"/>
            </w:tcBorders>
            <w:shd w:val="clear" w:color="auto" w:fill="FFFFFF"/>
          </w:tcPr>
          <w:p>
            <w:pPr>
              <w:autoSpaceDE w:val="0"/>
              <w:rPr>
                <w:rFonts w:cs="Times New Roman"/>
                <w:color w:val="auto"/>
                <w:sz w:val="10"/>
                <w:szCs w:val="10"/>
              </w:rPr>
            </w:pPr>
          </w:p>
        </w:tc>
        <w:tc>
          <w:tcPr>
            <w:tcW w:w="4512" w:type="dxa"/>
            <w:tcBorders>
              <w:top w:val="single" w:color="auto" w:sz="4" w:space="0"/>
              <w:left w:val="single" w:color="auto" w:sz="4" w:space="0"/>
              <w:bottom w:val="nil"/>
              <w:right w:val="single" w:color="auto" w:sz="4" w:space="0"/>
            </w:tcBorders>
            <w:shd w:val="clear" w:color="auto" w:fill="FFFFFF"/>
          </w:tcPr>
          <w:p>
            <w:pPr>
              <w:autoSpaceDE w:val="0"/>
              <w:rPr>
                <w:rFonts w:cs="Times New Roman"/>
                <w:color w:val="auto"/>
                <w:sz w:val="10"/>
                <w:szCs w:val="10"/>
              </w:rPr>
            </w:pPr>
          </w:p>
        </w:tc>
      </w:tr>
      <w:tr>
        <w:tblPrEx>
          <w:tblCellMar>
            <w:top w:w="0" w:type="dxa"/>
            <w:left w:w="0" w:type="dxa"/>
            <w:bottom w:w="0" w:type="dxa"/>
            <w:right w:w="0" w:type="dxa"/>
          </w:tblCellMar>
        </w:tblPrEx>
        <w:trPr>
          <w:trHeight w:val="638" w:hRule="atLeast"/>
        </w:trPr>
        <w:tc>
          <w:tcPr>
            <w:tcW w:w="2455" w:type="dxa"/>
            <w:tcBorders>
              <w:top w:val="single" w:color="auto" w:sz="4" w:space="0"/>
              <w:left w:val="single" w:color="auto" w:sz="4" w:space="0"/>
              <w:bottom w:val="nil"/>
              <w:right w:val="nil"/>
            </w:tcBorders>
            <w:shd w:val="clear" w:color="auto" w:fill="FFFFFF"/>
          </w:tcPr>
          <w:p>
            <w:pPr>
              <w:autoSpaceDE w:val="0"/>
              <w:rPr>
                <w:rFonts w:cs="Times New Roman"/>
                <w:color w:val="auto"/>
                <w:sz w:val="10"/>
                <w:szCs w:val="10"/>
              </w:rPr>
            </w:pPr>
          </w:p>
        </w:tc>
        <w:tc>
          <w:tcPr>
            <w:tcW w:w="1943" w:type="dxa"/>
            <w:tcBorders>
              <w:top w:val="single" w:color="auto" w:sz="4" w:space="0"/>
              <w:left w:val="single" w:color="auto" w:sz="4" w:space="0"/>
              <w:bottom w:val="nil"/>
              <w:right w:val="nil"/>
            </w:tcBorders>
            <w:shd w:val="clear" w:color="auto" w:fill="FFFFFF"/>
          </w:tcPr>
          <w:p>
            <w:pPr>
              <w:autoSpaceDE w:val="0"/>
              <w:rPr>
                <w:rFonts w:cs="Times New Roman"/>
                <w:color w:val="auto"/>
                <w:sz w:val="10"/>
                <w:szCs w:val="10"/>
              </w:rPr>
            </w:pPr>
          </w:p>
        </w:tc>
        <w:tc>
          <w:tcPr>
            <w:tcW w:w="4512" w:type="dxa"/>
            <w:tcBorders>
              <w:top w:val="single" w:color="auto" w:sz="4" w:space="0"/>
              <w:left w:val="single" w:color="auto" w:sz="4" w:space="0"/>
              <w:bottom w:val="nil"/>
              <w:right w:val="single" w:color="auto" w:sz="4" w:space="0"/>
            </w:tcBorders>
            <w:shd w:val="clear" w:color="auto" w:fill="FFFFFF"/>
          </w:tcPr>
          <w:p>
            <w:pPr>
              <w:autoSpaceDE w:val="0"/>
              <w:rPr>
                <w:rFonts w:cs="Times New Roman"/>
                <w:color w:val="auto"/>
                <w:sz w:val="10"/>
                <w:szCs w:val="10"/>
              </w:rPr>
            </w:pPr>
          </w:p>
        </w:tc>
      </w:tr>
      <w:tr>
        <w:tblPrEx>
          <w:tblCellMar>
            <w:top w:w="0" w:type="dxa"/>
            <w:left w:w="0" w:type="dxa"/>
            <w:bottom w:w="0" w:type="dxa"/>
            <w:right w:w="0" w:type="dxa"/>
          </w:tblCellMar>
        </w:tblPrEx>
        <w:trPr>
          <w:trHeight w:val="634" w:hRule="atLeast"/>
        </w:trPr>
        <w:tc>
          <w:tcPr>
            <w:tcW w:w="2455" w:type="dxa"/>
            <w:tcBorders>
              <w:top w:val="single" w:color="auto" w:sz="4" w:space="0"/>
              <w:left w:val="single" w:color="auto" w:sz="4" w:space="0"/>
              <w:bottom w:val="nil"/>
              <w:right w:val="nil"/>
            </w:tcBorders>
            <w:shd w:val="clear" w:color="auto" w:fill="FFFFFF"/>
          </w:tcPr>
          <w:p>
            <w:pPr>
              <w:autoSpaceDE w:val="0"/>
              <w:rPr>
                <w:rFonts w:cs="Times New Roman"/>
                <w:color w:val="auto"/>
                <w:sz w:val="10"/>
                <w:szCs w:val="10"/>
              </w:rPr>
            </w:pPr>
          </w:p>
        </w:tc>
        <w:tc>
          <w:tcPr>
            <w:tcW w:w="1943" w:type="dxa"/>
            <w:tcBorders>
              <w:top w:val="single" w:color="auto" w:sz="4" w:space="0"/>
              <w:left w:val="single" w:color="auto" w:sz="4" w:space="0"/>
              <w:bottom w:val="nil"/>
              <w:right w:val="nil"/>
            </w:tcBorders>
            <w:shd w:val="clear" w:color="auto" w:fill="FFFFFF"/>
          </w:tcPr>
          <w:p>
            <w:pPr>
              <w:autoSpaceDE w:val="0"/>
              <w:rPr>
                <w:rFonts w:cs="Times New Roman"/>
                <w:color w:val="auto"/>
                <w:sz w:val="10"/>
                <w:szCs w:val="10"/>
              </w:rPr>
            </w:pPr>
          </w:p>
        </w:tc>
        <w:tc>
          <w:tcPr>
            <w:tcW w:w="4512" w:type="dxa"/>
            <w:tcBorders>
              <w:top w:val="single" w:color="auto" w:sz="4" w:space="0"/>
              <w:left w:val="single" w:color="auto" w:sz="4" w:space="0"/>
              <w:bottom w:val="nil"/>
              <w:right w:val="single" w:color="auto" w:sz="4" w:space="0"/>
            </w:tcBorders>
            <w:shd w:val="clear" w:color="auto" w:fill="FFFFFF"/>
          </w:tcPr>
          <w:p>
            <w:pPr>
              <w:autoSpaceDE w:val="0"/>
              <w:rPr>
                <w:rFonts w:cs="Times New Roman"/>
                <w:color w:val="auto"/>
                <w:sz w:val="10"/>
                <w:szCs w:val="10"/>
              </w:rPr>
            </w:pPr>
          </w:p>
        </w:tc>
      </w:tr>
      <w:tr>
        <w:tblPrEx>
          <w:tblCellMar>
            <w:top w:w="0" w:type="dxa"/>
            <w:left w:w="0" w:type="dxa"/>
            <w:bottom w:w="0" w:type="dxa"/>
            <w:right w:w="0" w:type="dxa"/>
          </w:tblCellMar>
        </w:tblPrEx>
        <w:trPr>
          <w:trHeight w:val="643" w:hRule="atLeast"/>
        </w:trPr>
        <w:tc>
          <w:tcPr>
            <w:tcW w:w="2455" w:type="dxa"/>
            <w:tcBorders>
              <w:top w:val="single" w:color="auto" w:sz="4" w:space="0"/>
              <w:left w:val="single" w:color="auto" w:sz="4" w:space="0"/>
              <w:bottom w:val="single" w:color="auto" w:sz="4" w:space="0"/>
              <w:right w:val="nil"/>
            </w:tcBorders>
            <w:shd w:val="clear" w:color="auto" w:fill="FFFFFF"/>
          </w:tcPr>
          <w:p>
            <w:pPr>
              <w:autoSpaceDE w:val="0"/>
              <w:rPr>
                <w:rFonts w:cs="Times New Roman"/>
                <w:color w:val="auto"/>
                <w:sz w:val="10"/>
                <w:szCs w:val="10"/>
              </w:rPr>
            </w:pPr>
          </w:p>
        </w:tc>
        <w:tc>
          <w:tcPr>
            <w:tcW w:w="1943" w:type="dxa"/>
            <w:tcBorders>
              <w:top w:val="single" w:color="auto" w:sz="4" w:space="0"/>
              <w:left w:val="single" w:color="auto" w:sz="4" w:space="0"/>
              <w:bottom w:val="single" w:color="auto" w:sz="4" w:space="0"/>
              <w:right w:val="nil"/>
            </w:tcBorders>
            <w:shd w:val="clear" w:color="auto" w:fill="FFFFFF"/>
          </w:tcPr>
          <w:p>
            <w:pPr>
              <w:autoSpaceDE w:val="0"/>
              <w:rPr>
                <w:rFonts w:cs="Times New Roman"/>
                <w:color w:val="auto"/>
                <w:sz w:val="10"/>
                <w:szCs w:val="10"/>
              </w:rPr>
            </w:pPr>
          </w:p>
        </w:tc>
        <w:tc>
          <w:tcPr>
            <w:tcW w:w="4512" w:type="dxa"/>
            <w:tcBorders>
              <w:top w:val="single" w:color="auto" w:sz="4" w:space="0"/>
              <w:left w:val="single" w:color="auto" w:sz="4" w:space="0"/>
              <w:bottom w:val="single" w:color="auto" w:sz="4" w:space="0"/>
              <w:right w:val="single" w:color="auto" w:sz="4" w:space="0"/>
            </w:tcBorders>
            <w:shd w:val="clear" w:color="auto" w:fill="FFFFFF"/>
          </w:tcPr>
          <w:p>
            <w:pPr>
              <w:autoSpaceDE w:val="0"/>
              <w:rPr>
                <w:rFonts w:cs="Times New Roman"/>
                <w:color w:val="auto"/>
                <w:sz w:val="10"/>
                <w:szCs w:val="10"/>
              </w:rPr>
            </w:pPr>
          </w:p>
        </w:tc>
      </w:tr>
    </w:tbl>
    <w:p>
      <w:pPr>
        <w:autoSpaceDE w:val="0"/>
        <w:autoSpaceDN w:val="0"/>
        <w:snapToGrid w:val="0"/>
        <w:jc w:val="left"/>
        <w:rPr>
          <w:rFonts w:ascii="Times New Roman" w:hAnsi="Times New Roman" w:cs="Times New Roman"/>
          <w:b/>
          <w:bCs/>
          <w:color w:val="auto"/>
          <w:kern w:val="0"/>
          <w:sz w:val="24"/>
          <w:szCs w:val="24"/>
        </w:rPr>
      </w:pPr>
      <w:r>
        <w:rPr>
          <w:rFonts w:cs="Times New Roman"/>
          <w:color w:val="auto"/>
        </w:rPr>
        <w:br w:type="page"/>
      </w:r>
      <w:r>
        <w:rPr>
          <w:rFonts w:hint="eastAsia" w:cs="宋体"/>
          <w:b/>
          <w:bCs/>
          <w:color w:val="auto"/>
          <w:kern w:val="0"/>
          <w:sz w:val="24"/>
          <w:szCs w:val="24"/>
        </w:rPr>
        <w:t>附件四履约保证金格式</w:t>
      </w:r>
    </w:p>
    <w:p>
      <w:pPr>
        <w:autoSpaceDE w:val="0"/>
        <w:autoSpaceDN w:val="0"/>
        <w:snapToGrid w:val="0"/>
        <w:jc w:val="left"/>
        <w:rPr>
          <w:rFonts w:cs="Times New Roman"/>
          <w:color w:val="auto"/>
          <w:sz w:val="24"/>
          <w:szCs w:val="24"/>
        </w:rPr>
      </w:pPr>
      <w:r>
        <w:rPr>
          <w:rFonts w:hint="eastAsia" w:cs="宋体"/>
          <w:color w:val="auto"/>
          <w:sz w:val="24"/>
          <w:szCs w:val="24"/>
        </w:rPr>
        <w:t>如采用银行保函，格式如下。</w:t>
      </w:r>
    </w:p>
    <w:p>
      <w:pPr>
        <w:autoSpaceDE w:val="0"/>
        <w:autoSpaceDN w:val="0"/>
        <w:snapToGrid w:val="0"/>
        <w:jc w:val="left"/>
        <w:rPr>
          <w:color w:val="auto"/>
          <w:sz w:val="24"/>
          <w:szCs w:val="24"/>
        </w:rPr>
      </w:pPr>
    </w:p>
    <w:p>
      <w:pPr>
        <w:autoSpaceDE w:val="0"/>
        <w:autoSpaceDN w:val="0"/>
        <w:snapToGrid w:val="0"/>
        <w:jc w:val="center"/>
        <w:rPr>
          <w:rFonts w:ascii="黑体" w:eastAsia="黑体" w:cs="Times New Roman"/>
          <w:b/>
          <w:bCs/>
          <w:color w:val="auto"/>
          <w:sz w:val="32"/>
          <w:szCs w:val="32"/>
        </w:rPr>
      </w:pPr>
      <w:r>
        <w:rPr>
          <w:rFonts w:hint="eastAsia" w:ascii="黑体" w:hAnsi="黑体" w:eastAsia="黑体" w:cs="黑体"/>
          <w:b/>
          <w:bCs/>
          <w:color w:val="auto"/>
          <w:sz w:val="32"/>
          <w:szCs w:val="32"/>
        </w:rPr>
        <w:t>履约保证金</w:t>
      </w:r>
    </w:p>
    <w:p>
      <w:pPr>
        <w:widowControl/>
        <w:jc w:val="center"/>
        <w:rPr>
          <w:rFonts w:ascii="Times New Roman" w:cs="Times New Roman"/>
          <w:color w:val="auto"/>
          <w:sz w:val="24"/>
          <w:szCs w:val="24"/>
        </w:rPr>
      </w:pPr>
      <w:r>
        <w:rPr>
          <w:rFonts w:hint="eastAsia" w:cs="宋体"/>
          <w:color w:val="auto"/>
          <w:sz w:val="24"/>
          <w:szCs w:val="24"/>
        </w:rPr>
        <w:t>（本格式编排在招标文件中，供投标人参考，投标时不需附此表）</w:t>
      </w:r>
    </w:p>
    <w:p>
      <w:pPr>
        <w:autoSpaceDE w:val="0"/>
        <w:autoSpaceDN w:val="0"/>
        <w:snapToGrid w:val="0"/>
        <w:spacing w:line="360" w:lineRule="auto"/>
        <w:jc w:val="left"/>
        <w:rPr>
          <w:rFonts w:cs="Times New Roman"/>
          <w:color w:val="auto"/>
          <w:sz w:val="24"/>
          <w:szCs w:val="24"/>
          <w:u w:val="single"/>
        </w:rPr>
      </w:pPr>
    </w:p>
    <w:p>
      <w:pPr>
        <w:autoSpaceDE w:val="0"/>
        <w:autoSpaceDN w:val="0"/>
        <w:snapToGrid w:val="0"/>
        <w:spacing w:line="360" w:lineRule="auto"/>
        <w:jc w:val="left"/>
        <w:rPr>
          <w:rFonts w:cs="Times New Roman"/>
          <w:color w:val="auto"/>
          <w:sz w:val="24"/>
          <w:szCs w:val="24"/>
        </w:rPr>
      </w:pPr>
      <w:r>
        <w:rPr>
          <w:rFonts w:cs="Times New Roman"/>
          <w:color w:val="auto"/>
          <w:sz w:val="24"/>
          <w:szCs w:val="24"/>
          <w:u w:val="single"/>
        </w:rPr>
        <w:tab/>
      </w:r>
      <w:r>
        <w:rPr>
          <w:color w:val="auto"/>
          <w:sz w:val="24"/>
          <w:szCs w:val="24"/>
        </w:rPr>
        <w:t>(</w:t>
      </w:r>
      <w:r>
        <w:rPr>
          <w:rFonts w:hint="eastAsia" w:cs="宋体"/>
          <w:color w:val="auto"/>
          <w:sz w:val="24"/>
          <w:szCs w:val="24"/>
        </w:rPr>
        <w:t>发包人名称）：</w:t>
      </w:r>
    </w:p>
    <w:p>
      <w:pPr>
        <w:autoSpaceDE w:val="0"/>
        <w:autoSpaceDN w:val="0"/>
        <w:snapToGrid w:val="0"/>
        <w:spacing w:line="360" w:lineRule="auto"/>
        <w:ind w:firstLine="480" w:firstLineChars="200"/>
        <w:jc w:val="left"/>
        <w:rPr>
          <w:rFonts w:cs="Times New Roman"/>
          <w:color w:val="auto"/>
          <w:sz w:val="24"/>
          <w:szCs w:val="24"/>
          <w:lang w:val="zh-TW" w:eastAsia="zh-TW"/>
        </w:rPr>
      </w:pPr>
      <w:r>
        <w:rPr>
          <w:rFonts w:hint="eastAsia" w:cs="宋体"/>
          <w:color w:val="auto"/>
          <w:sz w:val="24"/>
          <w:szCs w:val="24"/>
          <w:lang w:val="zh-TW"/>
        </w:rPr>
        <w:t>鉴于</w:t>
      </w:r>
      <w:r>
        <w:rPr>
          <w:rFonts w:cs="Times New Roman"/>
          <w:color w:val="auto"/>
          <w:sz w:val="24"/>
          <w:szCs w:val="24"/>
          <w:u w:val="single"/>
          <w:lang w:val="zh-TW" w:eastAsia="zh-TW"/>
        </w:rPr>
        <w:tab/>
      </w:r>
      <w:r>
        <w:rPr>
          <w:color w:val="auto"/>
          <w:sz w:val="24"/>
          <w:szCs w:val="24"/>
          <w:lang w:val="zh-TW" w:eastAsia="zh-TW"/>
        </w:rPr>
        <w:t>(</w:t>
      </w:r>
      <w:r>
        <w:rPr>
          <w:rFonts w:hint="eastAsia" w:cs="宋体"/>
          <w:color w:val="auto"/>
          <w:sz w:val="24"/>
          <w:szCs w:val="24"/>
          <w:lang w:val="zh-TW"/>
        </w:rPr>
        <w:t>发包人名称，以下简称“发包人”）接受</w:t>
      </w:r>
      <w:r>
        <w:rPr>
          <w:rFonts w:cs="Times New Roman"/>
          <w:color w:val="auto"/>
          <w:sz w:val="24"/>
          <w:szCs w:val="24"/>
          <w:u w:val="single"/>
          <w:lang w:val="zh-TW" w:eastAsia="zh-TW"/>
        </w:rPr>
        <w:tab/>
      </w:r>
      <w:r>
        <w:rPr>
          <w:color w:val="auto"/>
          <w:sz w:val="24"/>
          <w:szCs w:val="24"/>
          <w:lang w:val="zh-TW" w:eastAsia="zh-TW"/>
        </w:rPr>
        <w:t>(</w:t>
      </w:r>
      <w:r>
        <w:rPr>
          <w:rFonts w:hint="eastAsia"/>
          <w:color w:val="auto"/>
          <w:sz w:val="24"/>
          <w:szCs w:val="24"/>
          <w:lang w:val="zh-TW"/>
        </w:rPr>
        <w:t>勘察</w:t>
      </w:r>
      <w:r>
        <w:rPr>
          <w:rFonts w:hint="eastAsia" w:cs="宋体"/>
          <w:color w:val="auto"/>
          <w:sz w:val="24"/>
          <w:szCs w:val="24"/>
          <w:lang w:val="zh-TW"/>
        </w:rPr>
        <w:t>人名称，以下简称“勘察人”</w:t>
      </w:r>
      <w:r>
        <w:rPr>
          <w:color w:val="auto"/>
          <w:sz w:val="24"/>
          <w:szCs w:val="24"/>
          <w:lang w:val="zh-TW" w:eastAsia="zh-TW"/>
        </w:rPr>
        <w:t>)</w:t>
      </w:r>
      <w:r>
        <w:rPr>
          <w:rFonts w:hint="eastAsia" w:cs="宋体"/>
          <w:color w:val="auto"/>
          <w:sz w:val="24"/>
          <w:szCs w:val="24"/>
          <w:lang w:val="zh-TW"/>
        </w:rPr>
        <w:t>于年月日参加</w:t>
      </w:r>
      <w:r>
        <w:rPr>
          <w:color w:val="auto"/>
          <w:sz w:val="24"/>
          <w:szCs w:val="24"/>
          <w:lang w:val="zh-TW" w:eastAsia="zh-TW"/>
        </w:rPr>
        <w:t>(</w:t>
      </w:r>
      <w:r>
        <w:rPr>
          <w:rFonts w:hint="eastAsia" w:cs="宋体"/>
          <w:color w:val="auto"/>
          <w:sz w:val="24"/>
          <w:szCs w:val="24"/>
          <w:lang w:val="zh-TW"/>
        </w:rPr>
        <w:t>项目名称）勘测的投标。我方愿意无条件地、不可撤销地就勘察人履行与你方订立的合同，向你方提供担保。</w:t>
      </w:r>
    </w:p>
    <w:p>
      <w:pPr>
        <w:autoSpaceDE w:val="0"/>
        <w:autoSpaceDN w:val="0"/>
        <w:snapToGrid w:val="0"/>
        <w:spacing w:line="360" w:lineRule="auto"/>
        <w:ind w:firstLine="480" w:firstLineChars="200"/>
        <w:jc w:val="left"/>
        <w:rPr>
          <w:rFonts w:cs="Times New Roman"/>
          <w:color w:val="auto"/>
          <w:sz w:val="24"/>
          <w:szCs w:val="24"/>
          <w:lang w:val="zh-TW" w:eastAsia="zh-TW"/>
        </w:rPr>
      </w:pPr>
      <w:r>
        <w:rPr>
          <w:color w:val="auto"/>
          <w:sz w:val="24"/>
          <w:szCs w:val="24"/>
          <w:lang w:val="zh-TW" w:eastAsia="zh-TW"/>
        </w:rPr>
        <w:t>1.</w:t>
      </w:r>
      <w:r>
        <w:rPr>
          <w:rFonts w:hint="eastAsia" w:cs="宋体"/>
          <w:color w:val="auto"/>
          <w:sz w:val="24"/>
          <w:szCs w:val="24"/>
          <w:lang w:val="zh-TW"/>
        </w:rPr>
        <w:t>担保金额人民币（大写</w:t>
      </w:r>
      <w:r>
        <w:rPr>
          <w:rFonts w:hint="eastAsia" w:cs="宋体"/>
          <w:color w:val="auto"/>
          <w:sz w:val="24"/>
          <w:szCs w:val="24"/>
        </w:rPr>
        <w:t>）</w:t>
      </w:r>
      <w:r>
        <w:rPr>
          <w:rFonts w:cs="Times New Roman"/>
          <w:color w:val="auto"/>
          <w:sz w:val="24"/>
          <w:szCs w:val="24"/>
          <w:u w:val="single"/>
          <w:lang w:val="zh-TW" w:eastAsia="zh-TW"/>
        </w:rPr>
        <w:tab/>
      </w:r>
      <w:r>
        <w:rPr>
          <w:rFonts w:hint="eastAsia" w:cs="宋体"/>
          <w:color w:val="auto"/>
          <w:sz w:val="24"/>
          <w:szCs w:val="24"/>
          <w:lang w:val="zh-TW"/>
        </w:rPr>
        <w:t>元</w:t>
      </w:r>
      <w:r>
        <w:rPr>
          <w:rFonts w:hint="eastAsia" w:cs="宋体"/>
          <w:color w:val="auto"/>
          <w:sz w:val="24"/>
          <w:szCs w:val="24"/>
        </w:rPr>
        <w:t>（</w:t>
      </w:r>
      <w:r>
        <w:rPr>
          <w:color w:val="auto"/>
          <w:sz w:val="24"/>
          <w:szCs w:val="24"/>
        </w:rPr>
        <w:t>¥</w:t>
      </w:r>
      <w:r>
        <w:rPr>
          <w:color w:val="auto"/>
          <w:sz w:val="24"/>
          <w:szCs w:val="24"/>
          <w:lang w:val="zh-TW" w:eastAsia="zh-TW"/>
        </w:rPr>
        <w:t>)</w:t>
      </w:r>
      <w:r>
        <w:rPr>
          <w:rFonts w:hint="eastAsia" w:cs="宋体"/>
          <w:color w:val="auto"/>
          <w:sz w:val="24"/>
          <w:szCs w:val="24"/>
          <w:lang w:val="zh-TW"/>
        </w:rPr>
        <w:t>。</w:t>
      </w:r>
    </w:p>
    <w:p>
      <w:pPr>
        <w:autoSpaceDE w:val="0"/>
        <w:autoSpaceDN w:val="0"/>
        <w:snapToGrid w:val="0"/>
        <w:spacing w:line="360" w:lineRule="auto"/>
        <w:ind w:firstLine="480" w:firstLineChars="200"/>
        <w:jc w:val="left"/>
        <w:rPr>
          <w:rFonts w:cs="Times New Roman"/>
          <w:color w:val="auto"/>
          <w:sz w:val="24"/>
          <w:szCs w:val="24"/>
          <w:lang w:val="zh-TW" w:eastAsia="zh-TW"/>
        </w:rPr>
      </w:pPr>
      <w:r>
        <w:rPr>
          <w:color w:val="auto"/>
          <w:sz w:val="24"/>
          <w:szCs w:val="24"/>
          <w:lang w:val="zh-TW" w:eastAsia="zh-TW"/>
        </w:rPr>
        <w:t>2.</w:t>
      </w:r>
      <w:r>
        <w:rPr>
          <w:rFonts w:hint="eastAsia" w:cs="宋体"/>
          <w:color w:val="auto"/>
          <w:sz w:val="24"/>
          <w:szCs w:val="24"/>
          <w:lang w:val="zh-TW"/>
        </w:rPr>
        <w:t>担保有效期自发包人与勘察人签订的合同生效之日起至发包人签收最后一批设计成果文件且勘察人按照合同约定缴纳质量保证金之日止。</w:t>
      </w:r>
    </w:p>
    <w:p>
      <w:pPr>
        <w:autoSpaceDE w:val="0"/>
        <w:autoSpaceDN w:val="0"/>
        <w:snapToGrid w:val="0"/>
        <w:spacing w:line="360" w:lineRule="auto"/>
        <w:ind w:firstLine="480" w:firstLineChars="200"/>
        <w:jc w:val="left"/>
        <w:rPr>
          <w:rFonts w:cs="Times New Roman"/>
          <w:color w:val="auto"/>
          <w:sz w:val="24"/>
          <w:szCs w:val="24"/>
          <w:lang w:val="zh-TW" w:eastAsia="zh-TW"/>
        </w:rPr>
      </w:pPr>
      <w:r>
        <w:rPr>
          <w:color w:val="auto"/>
          <w:sz w:val="24"/>
          <w:szCs w:val="24"/>
          <w:lang w:val="zh-TW" w:eastAsia="zh-TW"/>
        </w:rPr>
        <w:t>3.</w:t>
      </w:r>
      <w:r>
        <w:rPr>
          <w:rFonts w:hint="eastAsia" w:cs="宋体"/>
          <w:color w:val="auto"/>
          <w:sz w:val="24"/>
          <w:szCs w:val="24"/>
          <w:lang w:val="zh-TW"/>
        </w:rPr>
        <w:t>在本担保有效期内，如果勘察人不履行合同约定的义务或其履行不符合合同的约定，我方在收到你方以书面形式提出的在担保金额内的赔偿要求后，在</w:t>
      </w:r>
      <w:r>
        <w:rPr>
          <w:color w:val="auto"/>
          <w:sz w:val="24"/>
          <w:szCs w:val="24"/>
          <w:lang w:val="zh-TW" w:eastAsia="zh-TW"/>
        </w:rPr>
        <w:t>7</w:t>
      </w:r>
      <w:r>
        <w:rPr>
          <w:rFonts w:hint="eastAsia" w:cs="宋体"/>
          <w:color w:val="auto"/>
          <w:sz w:val="24"/>
          <w:szCs w:val="24"/>
          <w:lang w:val="zh-TW"/>
        </w:rPr>
        <w:t>日内无条件支付，无须你方出具证明或陈述理由。</w:t>
      </w:r>
    </w:p>
    <w:p>
      <w:pPr>
        <w:autoSpaceDE w:val="0"/>
        <w:autoSpaceDN w:val="0"/>
        <w:snapToGrid w:val="0"/>
        <w:spacing w:line="360" w:lineRule="auto"/>
        <w:ind w:firstLine="480" w:firstLineChars="200"/>
        <w:jc w:val="left"/>
        <w:rPr>
          <w:rFonts w:cs="Times New Roman"/>
          <w:color w:val="auto"/>
          <w:sz w:val="24"/>
          <w:szCs w:val="24"/>
          <w:lang w:val="zh-TW" w:eastAsia="zh-TW"/>
        </w:rPr>
      </w:pPr>
      <w:r>
        <w:rPr>
          <w:color w:val="auto"/>
          <w:sz w:val="24"/>
          <w:szCs w:val="24"/>
          <w:lang w:val="zh-TW" w:eastAsia="zh-TW"/>
        </w:rPr>
        <w:t>4.</w:t>
      </w:r>
      <w:r>
        <w:rPr>
          <w:rFonts w:hint="eastAsia" w:cs="宋体"/>
          <w:color w:val="auto"/>
          <w:sz w:val="24"/>
          <w:szCs w:val="24"/>
          <w:lang w:val="zh-TW"/>
        </w:rPr>
        <w:t>发包人和勘察人变更合同时，无论我方是否收到该变更，我方承担本担保规定的义务不变。</w:t>
      </w:r>
    </w:p>
    <w:p>
      <w:pPr>
        <w:autoSpaceDE w:val="0"/>
        <w:autoSpaceDN w:val="0"/>
        <w:snapToGrid w:val="0"/>
        <w:ind w:firstLine="4080"/>
        <w:jc w:val="left"/>
        <w:rPr>
          <w:color w:val="auto"/>
          <w:sz w:val="24"/>
          <w:szCs w:val="24"/>
          <w:u w:val="single"/>
        </w:rPr>
      </w:pPr>
      <w:r>
        <w:rPr>
          <w:rFonts w:hint="eastAsia" w:cs="宋体"/>
          <w:color w:val="auto"/>
          <w:sz w:val="24"/>
          <w:szCs w:val="24"/>
        </w:rPr>
        <w:t>担保人名称：</w:t>
      </w:r>
      <w:r>
        <w:rPr>
          <w:rFonts w:hint="eastAsia" w:cs="宋体"/>
          <w:color w:val="auto"/>
          <w:sz w:val="24"/>
          <w:szCs w:val="24"/>
          <w:u w:val="single"/>
        </w:rPr>
        <w:t>（盖单位章）</w:t>
      </w:r>
    </w:p>
    <w:p>
      <w:pPr>
        <w:autoSpaceDE w:val="0"/>
        <w:autoSpaceDN w:val="0"/>
        <w:snapToGrid w:val="0"/>
        <w:jc w:val="left"/>
        <w:rPr>
          <w:rFonts w:cs="Times New Roman"/>
          <w:color w:val="auto"/>
          <w:sz w:val="24"/>
          <w:szCs w:val="24"/>
          <w:u w:val="single"/>
        </w:rPr>
      </w:pPr>
    </w:p>
    <w:p>
      <w:pPr>
        <w:autoSpaceDE w:val="0"/>
        <w:autoSpaceDN w:val="0"/>
        <w:snapToGrid w:val="0"/>
        <w:spacing w:line="360" w:lineRule="auto"/>
        <w:jc w:val="left"/>
        <w:rPr>
          <w:rFonts w:cs="Times New Roman"/>
          <w:color w:val="auto"/>
          <w:sz w:val="24"/>
          <w:szCs w:val="24"/>
        </w:rPr>
      </w:pPr>
      <w:r>
        <w:rPr>
          <w:rFonts w:hint="eastAsia" w:cs="宋体"/>
          <w:color w:val="auto"/>
          <w:sz w:val="24"/>
          <w:szCs w:val="24"/>
        </w:rPr>
        <w:t>法定代表人或其委托代理人：（签字）</w:t>
      </w:r>
    </w:p>
    <w:p>
      <w:pPr>
        <w:autoSpaceDE w:val="0"/>
        <w:autoSpaceDN w:val="0"/>
        <w:snapToGrid w:val="0"/>
        <w:spacing w:line="360" w:lineRule="auto"/>
        <w:ind w:left="4320" w:hanging="120"/>
        <w:jc w:val="left"/>
        <w:rPr>
          <w:rFonts w:cs="Times New Roman"/>
          <w:color w:val="auto"/>
          <w:sz w:val="24"/>
          <w:szCs w:val="24"/>
          <w:u w:val="single"/>
        </w:rPr>
      </w:pPr>
      <w:r>
        <w:rPr>
          <w:rFonts w:hint="eastAsia" w:cs="宋体"/>
          <w:color w:val="auto"/>
          <w:sz w:val="24"/>
          <w:szCs w:val="24"/>
        </w:rPr>
        <w:t>地址：</w:t>
      </w:r>
      <w:r>
        <w:rPr>
          <w:color w:val="auto"/>
          <w:sz w:val="24"/>
          <w:szCs w:val="24"/>
          <w:u w:val="single"/>
        </w:rPr>
        <w:t>..</w:t>
      </w:r>
    </w:p>
    <w:p>
      <w:pPr>
        <w:autoSpaceDE w:val="0"/>
        <w:autoSpaceDN w:val="0"/>
        <w:snapToGrid w:val="0"/>
        <w:spacing w:line="360" w:lineRule="auto"/>
        <w:ind w:left="4320" w:hanging="120"/>
        <w:jc w:val="left"/>
        <w:rPr>
          <w:rFonts w:cs="Times New Roman"/>
          <w:color w:val="auto"/>
          <w:sz w:val="24"/>
          <w:szCs w:val="24"/>
          <w:u w:val="single"/>
        </w:rPr>
      </w:pPr>
      <w:r>
        <w:rPr>
          <w:rFonts w:hint="eastAsia" w:cs="宋体"/>
          <w:color w:val="auto"/>
          <w:sz w:val="24"/>
          <w:szCs w:val="24"/>
        </w:rPr>
        <w:t>邮政编码：</w:t>
      </w:r>
      <w:r>
        <w:rPr>
          <w:color w:val="auto"/>
          <w:sz w:val="24"/>
          <w:szCs w:val="24"/>
          <w:u w:val="single"/>
        </w:rPr>
        <w:t>..</w:t>
      </w:r>
    </w:p>
    <w:p>
      <w:pPr>
        <w:autoSpaceDE w:val="0"/>
        <w:autoSpaceDN w:val="0"/>
        <w:snapToGrid w:val="0"/>
        <w:spacing w:line="360" w:lineRule="auto"/>
        <w:ind w:left="4320" w:hanging="120"/>
        <w:jc w:val="left"/>
        <w:rPr>
          <w:rFonts w:cs="Times New Roman"/>
          <w:color w:val="auto"/>
          <w:sz w:val="24"/>
          <w:szCs w:val="24"/>
          <w:u w:val="single"/>
        </w:rPr>
      </w:pPr>
      <w:r>
        <w:rPr>
          <w:rFonts w:hint="eastAsia" w:cs="宋体"/>
          <w:color w:val="auto"/>
          <w:sz w:val="24"/>
          <w:szCs w:val="24"/>
        </w:rPr>
        <w:t>电话：</w:t>
      </w:r>
      <w:r>
        <w:rPr>
          <w:color w:val="auto"/>
          <w:sz w:val="24"/>
          <w:szCs w:val="24"/>
          <w:u w:val="single"/>
        </w:rPr>
        <w:t>..</w:t>
      </w:r>
    </w:p>
    <w:p>
      <w:pPr>
        <w:autoSpaceDE w:val="0"/>
        <w:autoSpaceDN w:val="0"/>
        <w:snapToGrid w:val="0"/>
        <w:spacing w:line="360" w:lineRule="auto"/>
        <w:ind w:firstLine="4200"/>
        <w:jc w:val="left"/>
        <w:rPr>
          <w:rFonts w:cs="Times New Roman"/>
          <w:color w:val="auto"/>
          <w:sz w:val="24"/>
          <w:szCs w:val="24"/>
        </w:rPr>
      </w:pPr>
      <w:r>
        <w:rPr>
          <w:rFonts w:hint="eastAsia" w:cs="宋体"/>
          <w:color w:val="auto"/>
          <w:sz w:val="24"/>
          <w:szCs w:val="24"/>
        </w:rPr>
        <w:t>传真：</w:t>
      </w:r>
      <w:r>
        <w:rPr>
          <w:color w:val="auto"/>
          <w:sz w:val="24"/>
          <w:szCs w:val="24"/>
          <w:u w:val="single"/>
        </w:rPr>
        <w:t>..</w:t>
      </w:r>
    </w:p>
    <w:p>
      <w:pPr>
        <w:autoSpaceDE w:val="0"/>
        <w:autoSpaceDN w:val="0"/>
        <w:snapToGrid w:val="0"/>
        <w:spacing w:line="360" w:lineRule="auto"/>
        <w:jc w:val="left"/>
        <w:rPr>
          <w:rFonts w:cs="Times New Roman"/>
          <w:color w:val="auto"/>
        </w:rPr>
      </w:pPr>
    </w:p>
    <w:p>
      <w:pPr>
        <w:autoSpaceDE w:val="0"/>
        <w:autoSpaceDN w:val="0"/>
        <w:snapToGrid w:val="0"/>
        <w:spacing w:line="360" w:lineRule="auto"/>
        <w:jc w:val="right"/>
        <w:rPr>
          <w:rFonts w:cs="Times New Roman"/>
          <w:color w:val="auto"/>
          <w:sz w:val="24"/>
          <w:szCs w:val="24"/>
        </w:rPr>
      </w:pPr>
      <w:r>
        <w:rPr>
          <w:rFonts w:hint="eastAsia" w:cs="宋体"/>
          <w:color w:val="auto"/>
          <w:sz w:val="24"/>
          <w:szCs w:val="24"/>
        </w:rPr>
        <w:t>年月日</w:t>
      </w:r>
    </w:p>
    <w:p>
      <w:pPr>
        <w:autoSpaceDE w:val="0"/>
        <w:autoSpaceDN w:val="0"/>
        <w:snapToGrid w:val="0"/>
        <w:spacing w:line="360" w:lineRule="auto"/>
        <w:jc w:val="right"/>
        <w:rPr>
          <w:color w:val="auto"/>
          <w:sz w:val="24"/>
          <w:szCs w:val="24"/>
        </w:rPr>
      </w:pPr>
    </w:p>
    <w:p>
      <w:pPr>
        <w:rPr>
          <w:rFonts w:cs="Times New Roman"/>
          <w:color w:val="auto"/>
        </w:rPr>
      </w:pPr>
    </w:p>
    <w:p>
      <w:pPr>
        <w:pStyle w:val="50"/>
        <w:rPr>
          <w:rFonts w:cs="Times New Roman"/>
          <w:color w:val="auto"/>
        </w:rPr>
      </w:pPr>
    </w:p>
    <w:p>
      <w:pPr>
        <w:autoSpaceDE w:val="0"/>
        <w:autoSpaceDN w:val="0"/>
        <w:adjustRightInd w:val="0"/>
        <w:spacing w:line="360" w:lineRule="auto"/>
        <w:jc w:val="right"/>
        <w:rPr>
          <w:rFonts w:cs="Times New Roman"/>
          <w:color w:val="auto"/>
          <w:sz w:val="24"/>
          <w:szCs w:val="24"/>
        </w:rPr>
      </w:pPr>
    </w:p>
    <w:p>
      <w:pPr>
        <w:pStyle w:val="50"/>
        <w:rPr>
          <w:rFonts w:cs="Times New Roman"/>
          <w:color w:val="auto"/>
        </w:rPr>
      </w:pPr>
    </w:p>
    <w:p>
      <w:pPr>
        <w:pStyle w:val="50"/>
        <w:rPr>
          <w:rFonts w:cs="Times New Roman"/>
          <w:color w:val="auto"/>
        </w:rPr>
      </w:pPr>
    </w:p>
    <w:p>
      <w:pPr>
        <w:autoSpaceDE w:val="0"/>
        <w:autoSpaceDN w:val="0"/>
        <w:snapToGrid w:val="0"/>
        <w:spacing w:line="360" w:lineRule="auto"/>
        <w:jc w:val="center"/>
        <w:rPr>
          <w:rFonts w:cs="Times New Roman"/>
          <w:color w:val="auto"/>
        </w:rPr>
      </w:pPr>
    </w:p>
    <w:p>
      <w:pPr>
        <w:pStyle w:val="50"/>
        <w:rPr>
          <w:rFonts w:cs="Times New Roman"/>
          <w:color w:val="auto"/>
        </w:rPr>
      </w:pPr>
    </w:p>
    <w:p>
      <w:pPr>
        <w:pStyle w:val="50"/>
        <w:rPr>
          <w:rFonts w:cs="Times New Roman"/>
          <w:color w:val="auto"/>
        </w:rPr>
      </w:pPr>
    </w:p>
    <w:p>
      <w:pPr>
        <w:pStyle w:val="50"/>
        <w:rPr>
          <w:rFonts w:cs="Times New Roman"/>
          <w:color w:val="auto"/>
        </w:rPr>
      </w:pPr>
    </w:p>
    <w:p>
      <w:pPr>
        <w:pStyle w:val="50"/>
        <w:rPr>
          <w:rFonts w:cs="Times New Roman"/>
          <w:color w:val="auto"/>
        </w:rPr>
      </w:pPr>
    </w:p>
    <w:p>
      <w:pPr>
        <w:autoSpaceDE w:val="0"/>
        <w:autoSpaceDN w:val="0"/>
        <w:snapToGrid w:val="0"/>
        <w:jc w:val="left"/>
        <w:rPr>
          <w:rFonts w:cs="Times New Roman"/>
          <w:color w:val="auto"/>
          <w:sz w:val="24"/>
          <w:szCs w:val="24"/>
        </w:rPr>
      </w:pPr>
    </w:p>
    <w:p>
      <w:pPr>
        <w:autoSpaceDE w:val="0"/>
        <w:autoSpaceDN w:val="0"/>
        <w:snapToGrid w:val="0"/>
        <w:jc w:val="left"/>
        <w:rPr>
          <w:rFonts w:cs="Times New Roman"/>
          <w:color w:val="auto"/>
          <w:sz w:val="24"/>
          <w:szCs w:val="24"/>
        </w:rPr>
      </w:pPr>
    </w:p>
    <w:p>
      <w:pPr>
        <w:autoSpaceDE w:val="0"/>
        <w:autoSpaceDN w:val="0"/>
        <w:snapToGrid w:val="0"/>
        <w:jc w:val="left"/>
        <w:rPr>
          <w:rFonts w:cs="Times New Roman"/>
          <w:color w:val="auto"/>
          <w:sz w:val="24"/>
          <w:szCs w:val="24"/>
        </w:rPr>
      </w:pPr>
    </w:p>
    <w:p>
      <w:pPr>
        <w:autoSpaceDE w:val="0"/>
        <w:autoSpaceDN w:val="0"/>
        <w:snapToGrid w:val="0"/>
        <w:jc w:val="left"/>
        <w:rPr>
          <w:rFonts w:cs="Times New Roman"/>
          <w:color w:val="auto"/>
          <w:sz w:val="24"/>
          <w:szCs w:val="24"/>
        </w:rPr>
      </w:pPr>
    </w:p>
    <w:p>
      <w:pPr>
        <w:autoSpaceDE w:val="0"/>
        <w:autoSpaceDN w:val="0"/>
        <w:snapToGrid w:val="0"/>
        <w:jc w:val="left"/>
        <w:rPr>
          <w:rFonts w:cs="Times New Roman"/>
          <w:color w:val="auto"/>
          <w:sz w:val="24"/>
          <w:szCs w:val="24"/>
        </w:rPr>
      </w:pPr>
    </w:p>
    <w:p>
      <w:pPr>
        <w:autoSpaceDE w:val="0"/>
        <w:autoSpaceDN w:val="0"/>
        <w:snapToGrid w:val="0"/>
        <w:jc w:val="left"/>
        <w:rPr>
          <w:rFonts w:cs="Times New Roman"/>
          <w:color w:val="auto"/>
          <w:sz w:val="24"/>
          <w:szCs w:val="24"/>
        </w:rPr>
      </w:pPr>
    </w:p>
    <w:p>
      <w:pPr>
        <w:autoSpaceDE w:val="0"/>
        <w:autoSpaceDN w:val="0"/>
        <w:snapToGrid w:val="0"/>
        <w:jc w:val="left"/>
        <w:rPr>
          <w:rFonts w:cs="Times New Roman"/>
          <w:color w:val="auto"/>
          <w:sz w:val="24"/>
          <w:szCs w:val="24"/>
        </w:rPr>
      </w:pPr>
    </w:p>
    <w:p>
      <w:pPr>
        <w:autoSpaceDE w:val="0"/>
        <w:autoSpaceDN w:val="0"/>
        <w:snapToGrid w:val="0"/>
        <w:jc w:val="left"/>
        <w:rPr>
          <w:color w:val="auto"/>
          <w:sz w:val="24"/>
          <w:szCs w:val="24"/>
        </w:rPr>
      </w:pPr>
    </w:p>
    <w:p>
      <w:pPr>
        <w:autoSpaceDE w:val="0"/>
        <w:autoSpaceDN w:val="0"/>
        <w:snapToGrid w:val="0"/>
        <w:jc w:val="left"/>
        <w:rPr>
          <w:color w:val="auto"/>
          <w:sz w:val="24"/>
          <w:szCs w:val="24"/>
        </w:rPr>
      </w:pPr>
    </w:p>
    <w:p>
      <w:pPr>
        <w:jc w:val="center"/>
        <w:rPr>
          <w:rFonts w:ascii="黑体" w:eastAsia="黑体" w:cs="Times New Roman"/>
          <w:b/>
          <w:bCs/>
          <w:color w:val="auto"/>
          <w:kern w:val="44"/>
          <w:sz w:val="36"/>
          <w:szCs w:val="36"/>
        </w:rPr>
      </w:pPr>
      <w:r>
        <w:rPr>
          <w:rFonts w:hint="eastAsia" w:cs="宋体"/>
          <w:color w:val="auto"/>
          <w:sz w:val="56"/>
          <w:szCs w:val="56"/>
        </w:rPr>
        <w:t>第二卷</w:t>
      </w:r>
      <w:r>
        <w:rPr>
          <w:rFonts w:cs="Times New Roman"/>
          <w:color w:val="auto"/>
          <w:sz w:val="24"/>
          <w:szCs w:val="24"/>
        </w:rPr>
        <w:br w:type="page"/>
      </w:r>
      <w:bookmarkStart w:id="67" w:name="_Toc514059670"/>
      <w:r>
        <w:rPr>
          <w:rFonts w:hint="eastAsia" w:ascii="黑体" w:eastAsia="黑体" w:cs="黑体"/>
          <w:b/>
          <w:bCs/>
          <w:color w:val="auto"/>
          <w:kern w:val="44"/>
          <w:sz w:val="36"/>
          <w:szCs w:val="36"/>
        </w:rPr>
        <w:t>第五章发包人要求</w:t>
      </w:r>
      <w:bookmarkEnd w:id="67"/>
    </w:p>
    <w:p>
      <w:pPr>
        <w:autoSpaceDE w:val="0"/>
        <w:autoSpaceDN w:val="0"/>
        <w:snapToGrid w:val="0"/>
        <w:spacing w:line="360" w:lineRule="auto"/>
        <w:ind w:right="240"/>
        <w:rPr>
          <w:rFonts w:ascii="Times New Roman" w:hAnsi="Times New Roman" w:cs="Times New Roman"/>
          <w:color w:val="auto"/>
          <w:sz w:val="24"/>
          <w:szCs w:val="24"/>
          <w:lang w:val="zh-TW" w:eastAsia="zh-TW"/>
        </w:rPr>
      </w:pPr>
      <w:r>
        <w:rPr>
          <w:rFonts w:hint="eastAsia" w:ascii="Times New Roman" w:hAnsi="Times New Roman" w:cs="宋体"/>
          <w:b/>
          <w:bCs/>
          <w:color w:val="auto"/>
          <w:sz w:val="24"/>
          <w:szCs w:val="24"/>
          <w:lang w:val="zh-TW"/>
        </w:rPr>
        <w:t>一、勘察要求</w:t>
      </w:r>
    </w:p>
    <w:p>
      <w:pPr>
        <w:autoSpaceDE w:val="0"/>
        <w:autoSpaceDN w:val="0"/>
        <w:snapToGrid w:val="0"/>
        <w:spacing w:line="360" w:lineRule="auto"/>
        <w:ind w:right="238" w:firstLine="480" w:firstLineChars="200"/>
        <w:rPr>
          <w:rFonts w:ascii="Times New Roman" w:hAnsi="Times New Roman" w:cs="Times New Roman"/>
          <w:color w:val="auto"/>
          <w:sz w:val="24"/>
          <w:szCs w:val="24"/>
          <w:lang w:val="zh-TW" w:eastAsia="zh-TW"/>
        </w:rPr>
      </w:pPr>
      <w:r>
        <w:rPr>
          <w:rFonts w:hint="eastAsia" w:ascii="Times New Roman" w:hAnsi="Times New Roman" w:cs="宋体"/>
          <w:color w:val="auto"/>
          <w:sz w:val="24"/>
          <w:szCs w:val="24"/>
          <w:lang w:val="zh-TW"/>
        </w:rPr>
        <w:t>招标人应当根据项目情况在本章中明确相应的设计要求，一般应包括以下内容：</w:t>
      </w:r>
    </w:p>
    <w:p>
      <w:pPr>
        <w:autoSpaceDE w:val="0"/>
        <w:autoSpaceDN w:val="0"/>
        <w:snapToGrid w:val="0"/>
        <w:spacing w:line="360" w:lineRule="auto"/>
        <w:ind w:right="238" w:firstLine="480" w:firstLineChars="200"/>
        <w:rPr>
          <w:rFonts w:ascii="Times New Roman" w:hAnsi="Times New Roman" w:cs="Times New Roman"/>
          <w:color w:val="auto"/>
          <w:sz w:val="24"/>
          <w:szCs w:val="24"/>
          <w:lang w:val="zh-TW" w:eastAsia="zh-TW"/>
        </w:rPr>
      </w:pPr>
      <w:r>
        <w:rPr>
          <w:rFonts w:ascii="Times New Roman" w:hAnsi="Times New Roman" w:cs="Times New Roman"/>
          <w:color w:val="auto"/>
          <w:sz w:val="24"/>
          <w:szCs w:val="24"/>
          <w:lang w:val="zh-TW" w:eastAsia="zh-TW"/>
        </w:rPr>
        <w:t>1.</w:t>
      </w:r>
      <w:r>
        <w:rPr>
          <w:rFonts w:hint="eastAsia" w:ascii="Times New Roman" w:hAnsi="Times New Roman" w:cs="宋体"/>
          <w:color w:val="auto"/>
          <w:sz w:val="24"/>
          <w:szCs w:val="24"/>
          <w:lang w:val="zh-TW"/>
        </w:rPr>
        <w:t>项目概况</w:t>
      </w:r>
    </w:p>
    <w:p>
      <w:pPr>
        <w:autoSpaceDE w:val="0"/>
        <w:autoSpaceDN w:val="0"/>
        <w:snapToGrid w:val="0"/>
        <w:spacing w:line="360" w:lineRule="auto"/>
        <w:ind w:right="238" w:firstLine="480" w:firstLineChars="200"/>
        <w:rPr>
          <w:rFonts w:ascii="Times New Roman" w:hAnsi="Times New Roman" w:cs="宋体"/>
          <w:color w:val="auto"/>
          <w:sz w:val="24"/>
          <w:szCs w:val="24"/>
          <w:lang w:val="zh-TW"/>
        </w:rPr>
      </w:pPr>
      <w:r>
        <w:rPr>
          <w:rFonts w:hint="eastAsia" w:cs="宋体"/>
          <w:color w:val="auto"/>
          <w:sz w:val="24"/>
          <w:lang w:eastAsia="zh-CN"/>
        </w:rPr>
        <w:t>项目新建海景大道南延工程，自北穿港路，至创业路，双向四车道一级公路标准，长度约</w:t>
      </w:r>
      <w:r>
        <w:rPr>
          <w:rFonts w:hint="eastAsia" w:cs="宋体"/>
          <w:color w:val="auto"/>
          <w:sz w:val="24"/>
          <w:lang w:val="en-US" w:eastAsia="zh-CN"/>
        </w:rPr>
        <w:t>1.3公里。项目对滨海北路、北穿港路与海景大道交口进行拓宽，新建货运停车场一座。</w:t>
      </w:r>
      <w:r>
        <w:rPr>
          <w:rFonts w:hint="eastAsia" w:cs="宋体"/>
          <w:color w:val="auto"/>
          <w:sz w:val="24"/>
        </w:rPr>
        <w:t>项目总投资为</w:t>
      </w:r>
      <w:r>
        <w:rPr>
          <w:rFonts w:hint="eastAsia" w:cs="宋体"/>
          <w:color w:val="auto"/>
          <w:sz w:val="24"/>
          <w:lang w:val="en-US" w:eastAsia="zh-CN"/>
        </w:rPr>
        <w:t>34662.3万</w:t>
      </w:r>
      <w:r>
        <w:rPr>
          <w:rFonts w:hint="eastAsia" w:cs="宋体"/>
          <w:color w:val="auto"/>
          <w:sz w:val="24"/>
        </w:rPr>
        <w:t>元。</w:t>
      </w:r>
    </w:p>
    <w:p>
      <w:pPr>
        <w:autoSpaceDE w:val="0"/>
        <w:autoSpaceDN w:val="0"/>
        <w:snapToGrid w:val="0"/>
        <w:spacing w:line="360" w:lineRule="auto"/>
        <w:ind w:right="238" w:firstLine="480" w:firstLineChars="200"/>
        <w:rPr>
          <w:rFonts w:ascii="Times New Roman" w:hAnsi="Times New Roman" w:cs="Times New Roman"/>
          <w:color w:val="auto"/>
          <w:sz w:val="24"/>
          <w:szCs w:val="24"/>
          <w:lang w:val="zh-TW" w:eastAsia="zh-TW"/>
        </w:rPr>
      </w:pPr>
      <w:r>
        <w:rPr>
          <w:rFonts w:ascii="Times New Roman" w:hAnsi="Times New Roman" w:cs="Times New Roman"/>
          <w:color w:val="auto"/>
          <w:sz w:val="24"/>
          <w:szCs w:val="24"/>
          <w:lang w:val="zh-TW" w:eastAsia="zh-TW"/>
        </w:rPr>
        <w:t xml:space="preserve">2. </w:t>
      </w:r>
      <w:r>
        <w:rPr>
          <w:rFonts w:hint="eastAsia" w:ascii="Times New Roman" w:hAnsi="Times New Roman" w:cs="宋体"/>
          <w:color w:val="auto"/>
          <w:sz w:val="24"/>
          <w:szCs w:val="24"/>
          <w:lang w:val="zh-TW"/>
        </w:rPr>
        <w:t>勘察范围及内容</w:t>
      </w:r>
    </w:p>
    <w:p>
      <w:pPr>
        <w:pStyle w:val="60"/>
        <w:shd w:val="clear" w:color="auto" w:fill="auto"/>
        <w:tabs>
          <w:tab w:val="left" w:leader="underscore" w:pos="1576"/>
        </w:tabs>
        <w:spacing w:before="0" w:after="0" w:line="360" w:lineRule="auto"/>
        <w:ind w:left="520" w:firstLine="0"/>
        <w:jc w:val="both"/>
        <w:rPr>
          <w:rFonts w:hint="eastAsia" w:ascii="Calibri" w:hAnsi="Calibri" w:eastAsia="宋体" w:cs="宋体"/>
          <w:color w:val="auto"/>
          <w:kern w:val="2"/>
          <w:sz w:val="24"/>
          <w:szCs w:val="21"/>
          <w:lang w:val="en-US" w:eastAsia="zh-CN" w:bidi="ar-SA"/>
        </w:rPr>
      </w:pPr>
      <w:r>
        <w:rPr>
          <w:rFonts w:hint="eastAsia" w:ascii="Times New Roman" w:hAnsi="Times New Roman" w:eastAsia="宋体" w:cs="宋体"/>
          <w:color w:val="auto"/>
          <w:sz w:val="24"/>
          <w:szCs w:val="24"/>
        </w:rPr>
        <w:t>本次招标为一个</w:t>
      </w:r>
      <w:r>
        <w:rPr>
          <w:rFonts w:hint="eastAsia" w:ascii="Calibri" w:hAnsi="Calibri" w:eastAsia="宋体" w:cs="宋体"/>
          <w:color w:val="auto"/>
          <w:kern w:val="2"/>
          <w:sz w:val="24"/>
          <w:szCs w:val="21"/>
          <w:lang w:val="en-US" w:eastAsia="zh-CN" w:bidi="ar-SA"/>
        </w:rPr>
        <w:t>标段，主要包括路线设计、路基工程、路面工程、过路箱涵工程、桥梁工程、路线交叉、交通设施、照明工程、绿化工程及配套停车场建设。负责查明拟建场地地层分布特征及各层土物理力学性质，为设计提供所需的各类地质参数，编制岩土工程勘察报告并通过相关审查。</w:t>
      </w:r>
    </w:p>
    <w:p>
      <w:pPr>
        <w:autoSpaceDE w:val="0"/>
        <w:autoSpaceDN w:val="0"/>
        <w:snapToGrid w:val="0"/>
        <w:spacing w:line="360" w:lineRule="auto"/>
        <w:ind w:right="238" w:firstLine="480" w:firstLineChars="200"/>
        <w:rPr>
          <w:rFonts w:ascii="Times New Roman" w:hAnsi="Times New Roman" w:cs="Times New Roman"/>
          <w:color w:val="auto"/>
          <w:sz w:val="24"/>
          <w:szCs w:val="24"/>
          <w:lang w:val="zh-TW" w:eastAsia="zh-TW"/>
        </w:rPr>
      </w:pPr>
      <w:r>
        <w:rPr>
          <w:rFonts w:ascii="Times New Roman" w:hAnsi="Times New Roman" w:cs="Times New Roman"/>
          <w:color w:val="auto"/>
          <w:sz w:val="24"/>
          <w:szCs w:val="24"/>
          <w:lang w:val="zh-TW" w:eastAsia="zh-TW"/>
        </w:rPr>
        <w:t>3.</w:t>
      </w:r>
      <w:r>
        <w:rPr>
          <w:rFonts w:hint="eastAsia" w:ascii="Times New Roman" w:hAnsi="Times New Roman" w:cs="宋体"/>
          <w:color w:val="auto"/>
          <w:sz w:val="24"/>
          <w:szCs w:val="24"/>
          <w:lang w:val="zh-TW"/>
        </w:rPr>
        <w:t>勘察依据：勘察任务书等。</w:t>
      </w:r>
    </w:p>
    <w:p>
      <w:pPr>
        <w:autoSpaceDE w:val="0"/>
        <w:autoSpaceDN w:val="0"/>
        <w:snapToGrid w:val="0"/>
        <w:spacing w:line="360" w:lineRule="auto"/>
        <w:ind w:right="238" w:firstLine="480" w:firstLineChars="200"/>
        <w:rPr>
          <w:rFonts w:ascii="Times New Roman" w:hAnsi="Times New Roman" w:cs="Times New Roman"/>
          <w:color w:val="auto"/>
          <w:sz w:val="24"/>
          <w:szCs w:val="24"/>
          <w:lang w:val="zh-TW" w:eastAsia="zh-TW"/>
        </w:rPr>
      </w:pPr>
      <w:r>
        <w:rPr>
          <w:rFonts w:ascii="Times New Roman" w:hAnsi="Times New Roman" w:cs="Times New Roman"/>
          <w:color w:val="auto"/>
          <w:sz w:val="24"/>
          <w:szCs w:val="24"/>
          <w:lang w:val="zh-TW" w:eastAsia="zh-TW"/>
        </w:rPr>
        <w:t>4.</w:t>
      </w:r>
      <w:r>
        <w:rPr>
          <w:rFonts w:hint="eastAsia" w:ascii="Times New Roman" w:hAnsi="Times New Roman" w:cs="宋体"/>
          <w:color w:val="auto"/>
          <w:sz w:val="24"/>
          <w:szCs w:val="24"/>
          <w:lang w:val="zh-TW"/>
        </w:rPr>
        <w:t>项目使用功能的要求：见勘察任务书等。</w:t>
      </w:r>
    </w:p>
    <w:p>
      <w:pPr>
        <w:autoSpaceDE w:val="0"/>
        <w:autoSpaceDN w:val="0"/>
        <w:snapToGrid w:val="0"/>
        <w:spacing w:line="360" w:lineRule="auto"/>
        <w:ind w:right="238" w:firstLine="480" w:firstLineChars="200"/>
        <w:rPr>
          <w:rFonts w:ascii="Times New Roman" w:hAnsi="Times New Roman" w:cs="Times New Roman"/>
          <w:color w:val="auto"/>
          <w:sz w:val="24"/>
          <w:szCs w:val="24"/>
          <w:lang w:val="zh-TW" w:eastAsia="zh-TW"/>
        </w:rPr>
      </w:pPr>
      <w:r>
        <w:rPr>
          <w:rFonts w:ascii="Times New Roman" w:hAnsi="Times New Roman" w:cs="Times New Roman"/>
          <w:color w:val="auto"/>
          <w:sz w:val="24"/>
          <w:szCs w:val="24"/>
          <w:lang w:val="zh-TW" w:eastAsia="zh-TW"/>
        </w:rPr>
        <w:t>5.</w:t>
      </w:r>
      <w:r>
        <w:rPr>
          <w:rFonts w:hint="eastAsia" w:ascii="Times New Roman" w:hAnsi="Times New Roman" w:cs="宋体"/>
          <w:color w:val="auto"/>
          <w:sz w:val="24"/>
          <w:szCs w:val="24"/>
          <w:lang w:val="zh-TW"/>
        </w:rPr>
        <w:t>勘察人员和设备要求</w:t>
      </w:r>
    </w:p>
    <w:tbl>
      <w:tblPr>
        <w:tblStyle w:val="20"/>
        <w:tblW w:w="890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53"/>
        <w:gridCol w:w="2160"/>
        <w:gridCol w:w="4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4" w:hRule="exact"/>
        </w:trPr>
        <w:tc>
          <w:tcPr>
            <w:tcW w:w="2453" w:type="dxa"/>
            <w:shd w:val="clear" w:color="auto" w:fill="FFFFFF"/>
            <w:vAlign w:val="center"/>
          </w:tcPr>
          <w:p>
            <w:pPr>
              <w:shd w:val="clear" w:color="auto" w:fill="FFFFFF"/>
              <w:spacing w:after="100" w:afterAutospacing="1" w:line="220" w:lineRule="exact"/>
              <w:jc w:val="center"/>
              <w:rPr>
                <w:rFonts w:ascii="MingLiUfalt" w:hAnsi="MingLiUfalt" w:eastAsia="MingLiUfalt" w:cs="Times New Roman"/>
                <w:color w:val="auto"/>
                <w:kern w:val="0"/>
                <w:sz w:val="22"/>
              </w:rPr>
            </w:pPr>
            <w:r>
              <w:rPr>
                <w:rFonts w:hint="eastAsia" w:ascii="MingLiUfalt" w:hAnsi="MingLiUfalt" w:eastAsia="MingLiUfalt" w:cs="MingLiUfalt"/>
                <w:color w:val="auto"/>
                <w:kern w:val="0"/>
                <w:sz w:val="22"/>
                <w:szCs w:val="22"/>
                <w:shd w:val="clear" w:color="auto" w:fill="FFFFFF"/>
                <w:lang w:val="zh-TW" w:eastAsia="zh-TW"/>
              </w:rPr>
              <w:t>人员</w:t>
            </w:r>
          </w:p>
        </w:tc>
        <w:tc>
          <w:tcPr>
            <w:tcW w:w="2160" w:type="dxa"/>
            <w:shd w:val="clear" w:color="auto" w:fill="FFFFFF"/>
            <w:vAlign w:val="center"/>
          </w:tcPr>
          <w:p>
            <w:pPr>
              <w:shd w:val="clear" w:color="auto" w:fill="FFFFFF"/>
              <w:spacing w:after="100" w:afterAutospacing="1" w:line="220" w:lineRule="exact"/>
              <w:jc w:val="center"/>
              <w:rPr>
                <w:rFonts w:ascii="MingLiUfalt" w:hAnsi="MingLiUfalt" w:eastAsia="MingLiUfalt" w:cs="Times New Roman"/>
                <w:color w:val="auto"/>
                <w:kern w:val="0"/>
                <w:sz w:val="22"/>
              </w:rPr>
            </w:pPr>
            <w:r>
              <w:rPr>
                <w:rFonts w:hint="eastAsia" w:ascii="MingLiUfalt" w:hAnsi="MingLiUfalt" w:eastAsia="MingLiUfalt" w:cs="MingLiUfalt"/>
                <w:color w:val="auto"/>
                <w:kern w:val="0"/>
                <w:sz w:val="22"/>
                <w:szCs w:val="22"/>
                <w:shd w:val="clear" w:color="auto" w:fill="FFFFFF"/>
                <w:lang w:val="zh-TW" w:eastAsia="zh-TW"/>
              </w:rPr>
              <w:t>数量</w:t>
            </w:r>
          </w:p>
        </w:tc>
        <w:tc>
          <w:tcPr>
            <w:tcW w:w="4291" w:type="dxa"/>
            <w:shd w:val="clear" w:color="auto" w:fill="FFFFFF"/>
            <w:vAlign w:val="center"/>
          </w:tcPr>
          <w:p>
            <w:pPr>
              <w:shd w:val="clear" w:color="auto" w:fill="FFFFFF"/>
              <w:spacing w:after="100" w:afterAutospacing="1" w:line="220" w:lineRule="exact"/>
              <w:jc w:val="center"/>
              <w:rPr>
                <w:rFonts w:ascii="MingLiUfalt" w:hAnsi="MingLiUfalt" w:eastAsia="MingLiUfalt" w:cs="Times New Roman"/>
                <w:color w:val="auto"/>
                <w:kern w:val="0"/>
                <w:sz w:val="22"/>
              </w:rPr>
            </w:pPr>
            <w:r>
              <w:rPr>
                <w:rFonts w:hint="eastAsia" w:ascii="MingLiUfalt" w:hAnsi="MingLiUfalt" w:eastAsia="MingLiUfalt" w:cs="MingLiUfalt"/>
                <w:color w:val="auto"/>
                <w:spacing w:val="130"/>
                <w:kern w:val="0"/>
                <w:sz w:val="22"/>
                <w:szCs w:val="22"/>
                <w:shd w:val="clear" w:color="auto" w:fill="FFFFFF"/>
                <w:lang w:val="zh-TW" w:eastAsia="zh-TW"/>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4" w:hRule="exact"/>
        </w:trPr>
        <w:tc>
          <w:tcPr>
            <w:tcW w:w="2453" w:type="dxa"/>
            <w:shd w:val="clear" w:color="auto" w:fill="FFFFFF"/>
            <w:vAlign w:val="center"/>
          </w:tcPr>
          <w:p>
            <w:pPr>
              <w:shd w:val="clear" w:color="auto" w:fill="FFFFFF"/>
              <w:spacing w:after="100" w:afterAutospacing="1" w:line="220" w:lineRule="exact"/>
              <w:jc w:val="center"/>
              <w:rPr>
                <w:rFonts w:ascii="MingLiUfalt" w:hAnsi="MingLiUfalt" w:eastAsia="MingLiUfalt" w:cs="Times New Roman"/>
                <w:color w:val="auto"/>
                <w:kern w:val="0"/>
                <w:sz w:val="10"/>
                <w:szCs w:val="10"/>
              </w:rPr>
            </w:pPr>
            <w:r>
              <w:rPr>
                <w:rFonts w:hint="eastAsia" w:ascii="MingLiUfalt" w:hAnsi="MingLiUfalt" w:eastAsia="MingLiUfalt" w:cs="MingLiUfalt"/>
                <w:color w:val="auto"/>
                <w:kern w:val="0"/>
                <w:sz w:val="22"/>
                <w:szCs w:val="22"/>
                <w:shd w:val="clear" w:color="auto" w:fill="FFFFFF"/>
                <w:lang w:val="zh-TW"/>
              </w:rPr>
              <w:t>勘察分项负责人</w:t>
            </w:r>
          </w:p>
        </w:tc>
        <w:tc>
          <w:tcPr>
            <w:tcW w:w="2160" w:type="dxa"/>
            <w:shd w:val="clear" w:color="auto" w:fill="FFFFFF"/>
            <w:vAlign w:val="center"/>
          </w:tcPr>
          <w:p>
            <w:pPr>
              <w:shd w:val="clear" w:color="auto" w:fill="FFFFFF"/>
              <w:spacing w:after="100" w:afterAutospacing="1" w:line="220" w:lineRule="exact"/>
              <w:jc w:val="center"/>
              <w:rPr>
                <w:rFonts w:ascii="MingLiUfalt" w:hAnsi="MingLiUfalt" w:eastAsia="MingLiUfalt" w:cs="Times New Roman"/>
                <w:color w:val="auto"/>
                <w:kern w:val="0"/>
                <w:sz w:val="10"/>
                <w:szCs w:val="10"/>
              </w:rPr>
            </w:pPr>
            <w:r>
              <w:rPr>
                <w:rFonts w:ascii="MingLiUfalt" w:hAnsi="MingLiUfalt" w:eastAsia="MingLiUfalt" w:cs="MingLiUfalt"/>
                <w:color w:val="auto"/>
                <w:kern w:val="0"/>
                <w:sz w:val="22"/>
                <w:szCs w:val="22"/>
                <w:shd w:val="clear" w:color="auto" w:fill="FFFFFF"/>
                <w:lang w:val="zh-TW"/>
              </w:rPr>
              <w:t>1</w:t>
            </w:r>
          </w:p>
        </w:tc>
        <w:tc>
          <w:tcPr>
            <w:tcW w:w="4291" w:type="dxa"/>
            <w:shd w:val="clear" w:color="auto" w:fill="FFFFFF"/>
            <w:vAlign w:val="center"/>
          </w:tcPr>
          <w:p>
            <w:pPr>
              <w:shd w:val="clear" w:color="auto" w:fill="FFFFFF"/>
              <w:spacing w:after="100" w:afterAutospacing="1" w:line="220" w:lineRule="exact"/>
              <w:jc w:val="center"/>
              <w:rPr>
                <w:rFonts w:ascii="MingLiUfalt" w:hAnsi="MingLiUfalt" w:eastAsia="MingLiUfalt" w:cs="Times New Roman"/>
                <w:color w:val="auto"/>
                <w:kern w:val="0"/>
                <w:sz w:val="10"/>
                <w:szCs w:val="10"/>
              </w:rPr>
            </w:pPr>
            <w:r>
              <w:rPr>
                <w:rFonts w:hint="eastAsia" w:ascii="MingLiUfalt" w:hAnsi="MingLiUfalt" w:eastAsia="MingLiUfalt" w:cs="MingLiUfalt"/>
                <w:color w:val="auto"/>
                <w:kern w:val="0"/>
                <w:sz w:val="22"/>
                <w:szCs w:val="22"/>
                <w:shd w:val="clear" w:color="auto" w:fill="FFFFFF"/>
              </w:rPr>
              <w:t>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4" w:hRule="exact"/>
        </w:trPr>
        <w:tc>
          <w:tcPr>
            <w:tcW w:w="2453" w:type="dxa"/>
            <w:shd w:val="clear" w:color="auto" w:fill="FFFFFF"/>
            <w:vAlign w:val="center"/>
          </w:tcPr>
          <w:p>
            <w:pPr>
              <w:shd w:val="clear" w:color="auto" w:fill="FFFFFF"/>
              <w:spacing w:after="100" w:afterAutospacing="1" w:line="220" w:lineRule="exact"/>
              <w:jc w:val="center"/>
              <w:rPr>
                <w:rFonts w:ascii="MingLiUfalt" w:hAnsi="MingLiUfalt" w:eastAsia="MingLiUfalt" w:cs="Times New Roman"/>
                <w:color w:val="auto"/>
                <w:kern w:val="0"/>
                <w:sz w:val="10"/>
                <w:szCs w:val="10"/>
              </w:rPr>
            </w:pPr>
            <w:r>
              <w:rPr>
                <w:rFonts w:hint="eastAsia" w:ascii="MingLiUfalt" w:hAnsi="MingLiUfalt" w:eastAsia="MingLiUfalt" w:cs="MingLiUfalt"/>
                <w:color w:val="auto"/>
                <w:kern w:val="0"/>
                <w:sz w:val="22"/>
                <w:szCs w:val="22"/>
                <w:shd w:val="clear" w:color="auto" w:fill="FFFFFF"/>
                <w:lang w:val="zh-TW"/>
              </w:rPr>
              <w:t>后续服务负责人</w:t>
            </w:r>
          </w:p>
        </w:tc>
        <w:tc>
          <w:tcPr>
            <w:tcW w:w="2160" w:type="dxa"/>
            <w:shd w:val="clear" w:color="auto" w:fill="FFFFFF"/>
            <w:vAlign w:val="center"/>
          </w:tcPr>
          <w:p>
            <w:pPr>
              <w:shd w:val="clear" w:color="auto" w:fill="FFFFFF"/>
              <w:spacing w:after="100" w:afterAutospacing="1" w:line="220" w:lineRule="exact"/>
              <w:jc w:val="center"/>
              <w:rPr>
                <w:rFonts w:ascii="MingLiUfalt" w:hAnsi="MingLiUfalt" w:eastAsia="MingLiUfalt" w:cs="Times New Roman"/>
                <w:color w:val="auto"/>
                <w:kern w:val="0"/>
                <w:sz w:val="10"/>
                <w:szCs w:val="10"/>
              </w:rPr>
            </w:pPr>
            <w:r>
              <w:rPr>
                <w:rFonts w:ascii="MingLiUfalt" w:hAnsi="MingLiUfalt" w:eastAsia="MingLiUfalt" w:cs="MingLiUfalt"/>
                <w:color w:val="auto"/>
                <w:kern w:val="0"/>
                <w:sz w:val="22"/>
                <w:szCs w:val="22"/>
                <w:shd w:val="clear" w:color="auto" w:fill="FFFFFF"/>
                <w:lang w:val="zh-TW"/>
              </w:rPr>
              <w:t>1</w:t>
            </w:r>
          </w:p>
        </w:tc>
        <w:tc>
          <w:tcPr>
            <w:tcW w:w="4291" w:type="dxa"/>
            <w:shd w:val="clear" w:color="auto" w:fill="FFFFFF"/>
            <w:vAlign w:val="center"/>
          </w:tcPr>
          <w:p>
            <w:pPr>
              <w:shd w:val="clear" w:color="auto" w:fill="FFFFFF"/>
              <w:spacing w:after="100" w:afterAutospacing="1" w:line="220" w:lineRule="exact"/>
              <w:jc w:val="center"/>
              <w:rPr>
                <w:rFonts w:ascii="MingLiUfalt" w:hAnsi="MingLiUfalt" w:eastAsia="MingLiUfalt" w:cs="Times New Roman"/>
                <w:color w:val="auto"/>
                <w:kern w:val="0"/>
                <w:sz w:val="10"/>
                <w:szCs w:val="10"/>
              </w:rPr>
            </w:pPr>
            <w:r>
              <w:rPr>
                <w:rFonts w:hint="eastAsia" w:ascii="MingLiUfalt" w:hAnsi="MingLiUfalt" w:eastAsia="MingLiUfalt" w:cs="MingLiUfalt"/>
                <w:color w:val="auto"/>
                <w:kern w:val="0"/>
                <w:sz w:val="22"/>
                <w:szCs w:val="22"/>
                <w:shd w:val="clear" w:color="auto" w:fill="FFFFFF"/>
              </w:rPr>
              <w:t>高级工程师</w:t>
            </w:r>
          </w:p>
        </w:tc>
      </w:tr>
    </w:tbl>
    <w:p>
      <w:pPr>
        <w:autoSpaceDE w:val="0"/>
        <w:autoSpaceDN w:val="0"/>
        <w:snapToGrid w:val="0"/>
        <w:spacing w:line="360" w:lineRule="auto"/>
        <w:ind w:right="238"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6.</w:t>
      </w:r>
      <w:r>
        <w:rPr>
          <w:rFonts w:hint="eastAsia" w:ascii="Times New Roman" w:hAnsi="Times New Roman" w:cs="宋体"/>
          <w:color w:val="auto"/>
          <w:sz w:val="24"/>
          <w:szCs w:val="24"/>
        </w:rPr>
        <w:t>其他要求：无</w:t>
      </w:r>
    </w:p>
    <w:p>
      <w:pPr>
        <w:autoSpaceDE w:val="0"/>
        <w:autoSpaceDN w:val="0"/>
        <w:snapToGrid w:val="0"/>
        <w:spacing w:line="360" w:lineRule="auto"/>
        <w:ind w:right="240"/>
        <w:rPr>
          <w:rFonts w:ascii="Times New Roman" w:hAnsi="Times New Roman" w:cs="Times New Roman"/>
          <w:color w:val="auto"/>
          <w:sz w:val="24"/>
          <w:szCs w:val="24"/>
        </w:rPr>
      </w:pPr>
      <w:r>
        <w:rPr>
          <w:rFonts w:hint="eastAsia" w:ascii="Times New Roman" w:hAnsi="Times New Roman" w:cs="宋体"/>
          <w:color w:val="auto"/>
          <w:sz w:val="24"/>
          <w:szCs w:val="24"/>
        </w:rPr>
        <w:t>二、适用规范标准</w:t>
      </w:r>
    </w:p>
    <w:p>
      <w:pPr>
        <w:autoSpaceDE w:val="0"/>
        <w:autoSpaceDN w:val="0"/>
        <w:snapToGrid w:val="0"/>
        <w:spacing w:line="360" w:lineRule="auto"/>
        <w:ind w:right="238" w:firstLine="480" w:firstLineChars="200"/>
        <w:rPr>
          <w:rFonts w:ascii="Times New Roman" w:hAnsi="Times New Roman" w:cs="宋体"/>
          <w:color w:val="auto"/>
          <w:sz w:val="24"/>
          <w:szCs w:val="24"/>
          <w:lang w:val="zh-TW"/>
        </w:rPr>
      </w:pPr>
      <w:r>
        <w:rPr>
          <w:rFonts w:hint="eastAsia" w:ascii="Times New Roman" w:hAnsi="Times New Roman" w:cs="宋体"/>
          <w:color w:val="auto"/>
          <w:sz w:val="24"/>
          <w:szCs w:val="24"/>
          <w:lang w:val="zh-TW"/>
        </w:rPr>
        <w:t>本次执行的主要规范、依据如下（但不限于）：</w:t>
      </w:r>
    </w:p>
    <w:p>
      <w:pPr>
        <w:autoSpaceDE w:val="0"/>
        <w:autoSpaceDN w:val="0"/>
        <w:snapToGrid w:val="0"/>
        <w:spacing w:line="360" w:lineRule="auto"/>
        <w:ind w:right="238" w:firstLine="480" w:firstLineChars="200"/>
        <w:rPr>
          <w:rFonts w:ascii="Times New Roman" w:hAnsi="Times New Roman" w:cs="宋体"/>
          <w:color w:val="auto"/>
          <w:sz w:val="24"/>
          <w:szCs w:val="24"/>
          <w:lang w:val="zh-TW"/>
        </w:rPr>
      </w:pPr>
      <w:r>
        <w:rPr>
          <w:rFonts w:hint="eastAsia" w:ascii="Times New Roman" w:hAnsi="Times New Roman" w:cs="宋体"/>
          <w:color w:val="auto"/>
          <w:sz w:val="24"/>
          <w:szCs w:val="24"/>
          <w:lang w:val="zh-TW"/>
        </w:rPr>
        <w:t>《公路桥涵地基与基础设计规范》（JTGD63-2007）</w:t>
      </w:r>
    </w:p>
    <w:p>
      <w:pPr>
        <w:autoSpaceDE w:val="0"/>
        <w:autoSpaceDN w:val="0"/>
        <w:snapToGrid w:val="0"/>
        <w:spacing w:line="360" w:lineRule="auto"/>
        <w:ind w:right="238" w:firstLine="480" w:firstLineChars="200"/>
        <w:rPr>
          <w:rFonts w:ascii="Times New Roman" w:hAnsi="Times New Roman" w:cs="宋体"/>
          <w:color w:val="auto"/>
          <w:sz w:val="24"/>
          <w:szCs w:val="24"/>
          <w:lang w:val="zh-TW"/>
        </w:rPr>
      </w:pPr>
      <w:r>
        <w:rPr>
          <w:rFonts w:hint="eastAsia" w:ascii="Times New Roman" w:hAnsi="Times New Roman" w:cs="宋体"/>
          <w:color w:val="auto"/>
          <w:sz w:val="24"/>
          <w:szCs w:val="24"/>
          <w:lang w:val="zh-TW"/>
        </w:rPr>
        <w:t>《天津市岩土工程勘察规范》（DB/T29-247-2017）</w:t>
      </w:r>
    </w:p>
    <w:p>
      <w:pPr>
        <w:autoSpaceDE w:val="0"/>
        <w:autoSpaceDN w:val="0"/>
        <w:snapToGrid w:val="0"/>
        <w:spacing w:line="360" w:lineRule="auto"/>
        <w:ind w:right="238" w:firstLine="480" w:firstLineChars="200"/>
        <w:rPr>
          <w:rFonts w:ascii="Times New Roman" w:hAnsi="Times New Roman" w:cs="宋体"/>
          <w:color w:val="auto"/>
          <w:sz w:val="24"/>
          <w:szCs w:val="24"/>
          <w:lang w:val="zh-TW"/>
        </w:rPr>
      </w:pPr>
      <w:r>
        <w:rPr>
          <w:rFonts w:hint="eastAsia" w:ascii="Times New Roman" w:hAnsi="Times New Roman" w:cs="宋体"/>
          <w:color w:val="auto"/>
          <w:sz w:val="24"/>
          <w:szCs w:val="24"/>
          <w:lang w:val="zh-TW"/>
        </w:rPr>
        <w:t>《岩土工程勘察规范》（GB50021-2001，2009 年版）</w:t>
      </w:r>
    </w:p>
    <w:p>
      <w:pPr>
        <w:autoSpaceDE w:val="0"/>
        <w:autoSpaceDN w:val="0"/>
        <w:snapToGrid w:val="0"/>
        <w:spacing w:line="360" w:lineRule="auto"/>
        <w:ind w:right="238" w:firstLine="480" w:firstLineChars="200"/>
        <w:rPr>
          <w:rFonts w:ascii="Times New Roman" w:hAnsi="Times New Roman" w:cs="宋体"/>
          <w:color w:val="auto"/>
          <w:sz w:val="24"/>
          <w:szCs w:val="24"/>
          <w:lang w:val="zh-TW"/>
        </w:rPr>
      </w:pPr>
      <w:r>
        <w:rPr>
          <w:rFonts w:hint="eastAsia" w:ascii="Times New Roman" w:hAnsi="Times New Roman" w:cs="宋体"/>
          <w:color w:val="auto"/>
          <w:sz w:val="24"/>
          <w:szCs w:val="24"/>
          <w:lang w:val="zh-TW"/>
        </w:rPr>
        <w:t>《建筑地基基础设计规范》（GB 50007-2011）</w:t>
      </w:r>
    </w:p>
    <w:p>
      <w:pPr>
        <w:autoSpaceDE w:val="0"/>
        <w:autoSpaceDN w:val="0"/>
        <w:snapToGrid w:val="0"/>
        <w:spacing w:line="360" w:lineRule="auto"/>
        <w:ind w:right="238" w:firstLine="480" w:firstLineChars="200"/>
        <w:rPr>
          <w:rFonts w:ascii="Times New Roman" w:hAnsi="Times New Roman" w:cs="宋体"/>
          <w:color w:val="auto"/>
          <w:sz w:val="24"/>
          <w:szCs w:val="24"/>
          <w:lang w:val="zh-TW"/>
        </w:rPr>
      </w:pPr>
      <w:r>
        <w:rPr>
          <w:rFonts w:hint="eastAsia" w:ascii="Times New Roman" w:hAnsi="Times New Roman" w:cs="宋体"/>
          <w:color w:val="auto"/>
          <w:sz w:val="24"/>
          <w:szCs w:val="24"/>
          <w:lang w:val="zh-TW"/>
        </w:rPr>
        <w:t>《建筑抗震设计规范》（GB 50011-2010 2016 年版）</w:t>
      </w:r>
    </w:p>
    <w:p>
      <w:pPr>
        <w:autoSpaceDE w:val="0"/>
        <w:autoSpaceDN w:val="0"/>
        <w:snapToGrid w:val="0"/>
        <w:spacing w:line="360" w:lineRule="auto"/>
        <w:ind w:right="238" w:firstLine="480" w:firstLineChars="200"/>
        <w:rPr>
          <w:rFonts w:ascii="Times New Roman" w:hAnsi="Times New Roman" w:cs="宋体"/>
          <w:color w:val="auto"/>
          <w:sz w:val="24"/>
          <w:szCs w:val="24"/>
          <w:lang w:val="zh-TW"/>
        </w:rPr>
      </w:pPr>
      <w:r>
        <w:rPr>
          <w:rFonts w:hint="eastAsia" w:ascii="Times New Roman" w:hAnsi="Times New Roman" w:cs="宋体"/>
          <w:color w:val="auto"/>
          <w:sz w:val="24"/>
          <w:szCs w:val="24"/>
          <w:lang w:val="zh-TW"/>
        </w:rPr>
        <w:t>《土工试验方法标准》（GB/T 50123-2019）</w:t>
      </w:r>
    </w:p>
    <w:p>
      <w:pPr>
        <w:autoSpaceDE w:val="0"/>
        <w:autoSpaceDN w:val="0"/>
        <w:snapToGrid w:val="0"/>
        <w:spacing w:line="360" w:lineRule="auto"/>
        <w:ind w:right="238" w:firstLine="480" w:firstLineChars="200"/>
        <w:rPr>
          <w:rFonts w:ascii="Times New Roman" w:hAnsi="Times New Roman" w:cs="宋体"/>
          <w:color w:val="auto"/>
          <w:sz w:val="24"/>
          <w:szCs w:val="24"/>
          <w:lang w:val="zh-TW"/>
        </w:rPr>
      </w:pPr>
      <w:r>
        <w:rPr>
          <w:rFonts w:hint="eastAsia" w:ascii="Times New Roman" w:hAnsi="Times New Roman" w:cs="宋体"/>
          <w:color w:val="auto"/>
          <w:sz w:val="24"/>
          <w:szCs w:val="24"/>
          <w:lang w:val="zh-TW"/>
        </w:rPr>
        <w:t>《土的工程分类标准》（GB/T50145-2007）</w:t>
      </w:r>
    </w:p>
    <w:p>
      <w:pPr>
        <w:autoSpaceDE w:val="0"/>
        <w:autoSpaceDN w:val="0"/>
        <w:snapToGrid w:val="0"/>
        <w:spacing w:line="360" w:lineRule="auto"/>
        <w:ind w:right="238" w:firstLine="480" w:firstLineChars="200"/>
        <w:rPr>
          <w:rFonts w:ascii="Times New Roman" w:hAnsi="Times New Roman" w:cs="宋体"/>
          <w:color w:val="auto"/>
          <w:sz w:val="24"/>
          <w:szCs w:val="24"/>
          <w:lang w:val="zh-TW"/>
        </w:rPr>
      </w:pPr>
      <w:r>
        <w:rPr>
          <w:rFonts w:hint="eastAsia" w:ascii="Times New Roman" w:hAnsi="Times New Roman" w:cs="宋体"/>
          <w:color w:val="auto"/>
          <w:sz w:val="24"/>
          <w:szCs w:val="24"/>
          <w:lang w:val="zh-TW"/>
        </w:rPr>
        <w:t>《工程测量规范》（GB50026-2007）</w:t>
      </w:r>
    </w:p>
    <w:p>
      <w:pPr>
        <w:autoSpaceDE w:val="0"/>
        <w:autoSpaceDN w:val="0"/>
        <w:snapToGrid w:val="0"/>
        <w:spacing w:line="360" w:lineRule="auto"/>
        <w:ind w:right="238" w:firstLine="480" w:firstLineChars="200"/>
        <w:rPr>
          <w:rFonts w:ascii="Times New Roman" w:hAnsi="Times New Roman" w:cs="宋体"/>
          <w:color w:val="auto"/>
          <w:sz w:val="24"/>
          <w:szCs w:val="24"/>
          <w:lang w:val="zh-TW"/>
        </w:rPr>
      </w:pPr>
      <w:r>
        <w:rPr>
          <w:rFonts w:hint="eastAsia" w:ascii="Times New Roman" w:hAnsi="Times New Roman" w:cs="宋体"/>
          <w:color w:val="auto"/>
          <w:sz w:val="24"/>
          <w:szCs w:val="24"/>
          <w:lang w:val="zh-TW"/>
        </w:rPr>
        <w:t>《岩土工程勘察安全规范》（GB/T50585-2019）</w:t>
      </w:r>
    </w:p>
    <w:p>
      <w:pPr>
        <w:autoSpaceDE w:val="0"/>
        <w:autoSpaceDN w:val="0"/>
        <w:snapToGrid w:val="0"/>
        <w:spacing w:line="360" w:lineRule="auto"/>
        <w:ind w:right="238" w:firstLine="480" w:firstLineChars="200"/>
        <w:rPr>
          <w:rFonts w:ascii="Times New Roman" w:hAnsi="Times New Roman" w:cs="宋体"/>
          <w:color w:val="auto"/>
          <w:sz w:val="24"/>
          <w:szCs w:val="24"/>
          <w:lang w:val="zh-TW"/>
        </w:rPr>
      </w:pPr>
      <w:r>
        <w:rPr>
          <w:rFonts w:hint="eastAsia" w:ascii="Times New Roman" w:hAnsi="Times New Roman" w:cs="宋体"/>
          <w:color w:val="auto"/>
          <w:sz w:val="24"/>
          <w:szCs w:val="24"/>
          <w:lang w:val="zh-TW"/>
        </w:rPr>
        <w:t>《中国地震动参数区划图》（GB18306-2015）</w:t>
      </w:r>
    </w:p>
    <w:p>
      <w:pPr>
        <w:autoSpaceDE w:val="0"/>
        <w:autoSpaceDN w:val="0"/>
        <w:snapToGrid w:val="0"/>
        <w:spacing w:line="360" w:lineRule="auto"/>
        <w:ind w:right="238" w:firstLine="480" w:firstLineChars="200"/>
        <w:rPr>
          <w:rFonts w:ascii="Times New Roman" w:hAnsi="Times New Roman" w:cs="宋体"/>
          <w:color w:val="auto"/>
          <w:sz w:val="24"/>
          <w:szCs w:val="24"/>
          <w:lang w:val="zh-TW"/>
        </w:rPr>
      </w:pPr>
      <w:r>
        <w:rPr>
          <w:rFonts w:hint="eastAsia" w:ascii="Times New Roman" w:hAnsi="Times New Roman" w:cs="宋体"/>
          <w:color w:val="auto"/>
          <w:sz w:val="24"/>
          <w:szCs w:val="24"/>
          <w:lang w:val="zh-TW"/>
        </w:rPr>
        <w:t>《建筑基坑支护技术规程》（JGJ120-2012）</w:t>
      </w:r>
    </w:p>
    <w:p>
      <w:pPr>
        <w:autoSpaceDE w:val="0"/>
        <w:autoSpaceDN w:val="0"/>
        <w:snapToGrid w:val="0"/>
        <w:spacing w:line="360" w:lineRule="auto"/>
        <w:ind w:right="238" w:firstLine="480" w:firstLineChars="200"/>
        <w:rPr>
          <w:rFonts w:ascii="Times New Roman" w:hAnsi="Times New Roman" w:cs="宋体"/>
          <w:color w:val="auto"/>
          <w:sz w:val="24"/>
          <w:szCs w:val="24"/>
          <w:lang w:val="zh-TW"/>
        </w:rPr>
      </w:pPr>
      <w:r>
        <w:rPr>
          <w:rFonts w:hint="eastAsia" w:ascii="Times New Roman" w:hAnsi="Times New Roman" w:cs="宋体"/>
          <w:color w:val="auto"/>
          <w:sz w:val="24"/>
          <w:szCs w:val="24"/>
          <w:lang w:val="zh-TW"/>
        </w:rPr>
        <w:t>《软土地区岩土工程勘察规程》（JGJ83-2011）</w:t>
      </w:r>
    </w:p>
    <w:p>
      <w:pPr>
        <w:autoSpaceDE w:val="0"/>
        <w:autoSpaceDN w:val="0"/>
        <w:snapToGrid w:val="0"/>
        <w:spacing w:line="360" w:lineRule="auto"/>
        <w:ind w:right="238" w:firstLine="480" w:firstLineChars="200"/>
        <w:rPr>
          <w:rFonts w:ascii="Times New Roman" w:hAnsi="Times New Roman" w:cs="宋体"/>
          <w:color w:val="auto"/>
          <w:sz w:val="24"/>
          <w:szCs w:val="24"/>
          <w:lang w:val="zh-TW"/>
        </w:rPr>
      </w:pPr>
      <w:r>
        <w:rPr>
          <w:rFonts w:hint="eastAsia" w:ascii="Times New Roman" w:hAnsi="Times New Roman" w:cs="宋体"/>
          <w:color w:val="auto"/>
          <w:sz w:val="24"/>
          <w:szCs w:val="24"/>
          <w:lang w:val="zh-TW"/>
        </w:rPr>
        <w:t>《市政工程勘察规范》(CJJ56-2012)</w:t>
      </w:r>
    </w:p>
    <w:p>
      <w:pPr>
        <w:autoSpaceDE w:val="0"/>
        <w:autoSpaceDN w:val="0"/>
        <w:snapToGrid w:val="0"/>
        <w:spacing w:line="360" w:lineRule="auto"/>
        <w:ind w:right="238" w:firstLine="480" w:firstLineChars="200"/>
        <w:rPr>
          <w:rFonts w:ascii="Times New Roman" w:hAnsi="Times New Roman" w:cs="宋体"/>
          <w:color w:val="auto"/>
          <w:sz w:val="24"/>
          <w:szCs w:val="24"/>
          <w:lang w:val="zh-TW"/>
        </w:rPr>
      </w:pPr>
      <w:r>
        <w:rPr>
          <w:rFonts w:hint="eastAsia" w:ascii="Times New Roman" w:hAnsi="Times New Roman" w:cs="宋体"/>
          <w:color w:val="auto"/>
          <w:sz w:val="24"/>
          <w:szCs w:val="24"/>
          <w:lang w:val="zh-TW"/>
        </w:rPr>
        <w:t>《建筑工程地质勘探与取样技术规程》（JGJ/T87－2012）</w:t>
      </w:r>
    </w:p>
    <w:p>
      <w:pPr>
        <w:autoSpaceDE w:val="0"/>
        <w:autoSpaceDN w:val="0"/>
        <w:snapToGrid w:val="0"/>
        <w:spacing w:line="360" w:lineRule="auto"/>
        <w:ind w:right="238" w:firstLine="480" w:firstLineChars="200"/>
        <w:rPr>
          <w:rFonts w:ascii="Times New Roman" w:hAnsi="Times New Roman" w:cs="宋体"/>
          <w:color w:val="auto"/>
          <w:sz w:val="24"/>
          <w:szCs w:val="24"/>
          <w:lang w:val="zh-TW"/>
        </w:rPr>
      </w:pPr>
      <w:r>
        <w:rPr>
          <w:rFonts w:hint="eastAsia" w:ascii="Times New Roman" w:hAnsi="Times New Roman" w:cs="宋体"/>
          <w:color w:val="auto"/>
          <w:sz w:val="24"/>
          <w:szCs w:val="24"/>
          <w:lang w:val="zh-TW"/>
        </w:rPr>
        <w:t>《建筑桩基技术规范》(JGJ94-2008)</w:t>
      </w:r>
    </w:p>
    <w:p>
      <w:pPr>
        <w:autoSpaceDE w:val="0"/>
        <w:autoSpaceDN w:val="0"/>
        <w:snapToGrid w:val="0"/>
        <w:spacing w:line="360" w:lineRule="auto"/>
        <w:ind w:right="238" w:firstLine="480" w:firstLineChars="200"/>
        <w:rPr>
          <w:rFonts w:ascii="Times New Roman" w:hAnsi="Times New Roman" w:cs="宋体"/>
          <w:color w:val="auto"/>
          <w:sz w:val="24"/>
          <w:szCs w:val="24"/>
          <w:lang w:val="zh-TW"/>
        </w:rPr>
      </w:pPr>
      <w:r>
        <w:rPr>
          <w:rFonts w:hint="eastAsia" w:ascii="Times New Roman" w:hAnsi="Times New Roman" w:cs="宋体"/>
          <w:color w:val="auto"/>
          <w:sz w:val="24"/>
          <w:szCs w:val="24"/>
          <w:lang w:val="zh-TW"/>
        </w:rPr>
        <w:t>《建筑地基处理技术规程》(JGJ79-2012)</w:t>
      </w:r>
    </w:p>
    <w:p>
      <w:pPr>
        <w:autoSpaceDE w:val="0"/>
        <w:autoSpaceDN w:val="0"/>
        <w:snapToGrid w:val="0"/>
        <w:spacing w:line="360" w:lineRule="auto"/>
        <w:ind w:right="238" w:firstLine="480" w:firstLineChars="200"/>
        <w:rPr>
          <w:rFonts w:ascii="Times New Roman" w:hAnsi="Times New Roman" w:cs="宋体"/>
          <w:color w:val="auto"/>
          <w:sz w:val="24"/>
          <w:szCs w:val="24"/>
          <w:lang w:val="zh-TW"/>
        </w:rPr>
      </w:pPr>
      <w:r>
        <w:rPr>
          <w:rFonts w:hint="eastAsia" w:ascii="Times New Roman" w:hAnsi="Times New Roman" w:cs="宋体"/>
          <w:color w:val="auto"/>
          <w:sz w:val="24"/>
          <w:szCs w:val="24"/>
          <w:lang w:val="zh-TW"/>
        </w:rPr>
        <w:t>《天津市地基土层序划分技术规程》（DB/T 29-191-2009）</w:t>
      </w:r>
    </w:p>
    <w:p>
      <w:pPr>
        <w:spacing w:line="398" w:lineRule="exact"/>
        <w:rPr>
          <w:rFonts w:ascii="宋体" w:hAnsi="宋体" w:cs="宋体"/>
          <w:b/>
          <w:color w:val="auto"/>
          <w:sz w:val="24"/>
          <w:szCs w:val="24"/>
        </w:rPr>
      </w:pPr>
      <w:r>
        <w:rPr>
          <w:rFonts w:hint="eastAsia" w:ascii="宋体" w:hAnsi="宋体" w:cs="宋体"/>
          <w:b/>
          <w:color w:val="auto"/>
          <w:sz w:val="24"/>
          <w:szCs w:val="24"/>
        </w:rPr>
        <w:t>三、勘察工作的要求</w:t>
      </w:r>
    </w:p>
    <w:p>
      <w:pPr>
        <w:spacing w:line="398" w:lineRule="exact"/>
        <w:ind w:firstLine="480" w:firstLineChars="200"/>
        <w:rPr>
          <w:rFonts w:ascii="宋体" w:hAnsi="宋体" w:cs="宋体"/>
          <w:color w:val="auto"/>
          <w:sz w:val="24"/>
          <w:szCs w:val="24"/>
        </w:rPr>
      </w:pPr>
      <w:r>
        <w:rPr>
          <w:rFonts w:hint="eastAsia" w:ascii="宋体" w:hAnsi="宋体" w:cs="宋体"/>
          <w:color w:val="auto"/>
          <w:sz w:val="24"/>
          <w:szCs w:val="24"/>
        </w:rPr>
        <w:t>根据设计方案、技术审查后的勘察方案及相关规范要求，合理布置勘察工作量，以详细查明建筑场地的工程地质、水文地质条件、不良地质分布及发育特征、软弱地基范围及深度等，并进行分析评价，为工程设计和施工提供必要的地质依据和设计参数，勘察工作要求如下：</w:t>
      </w:r>
    </w:p>
    <w:p>
      <w:pPr>
        <w:spacing w:line="398" w:lineRule="exact"/>
        <w:ind w:firstLine="480" w:firstLineChars="200"/>
        <w:rPr>
          <w:rFonts w:ascii="宋体" w:hAnsi="宋体" w:cs="宋体"/>
          <w:color w:val="auto"/>
          <w:sz w:val="24"/>
          <w:szCs w:val="24"/>
        </w:rPr>
      </w:pPr>
      <w:r>
        <w:rPr>
          <w:rFonts w:hint="eastAsia" w:ascii="宋体" w:hAnsi="宋体" w:cs="宋体"/>
          <w:color w:val="auto"/>
          <w:sz w:val="24"/>
          <w:szCs w:val="24"/>
        </w:rPr>
        <w:t>（1）查明构建筑物基础深度影响范围内地层的成因年代、类型、深度、分布、工程特性、分析和评价地基的稳定性、均匀性和承载力。</w:t>
      </w:r>
    </w:p>
    <w:p>
      <w:pPr>
        <w:spacing w:line="398" w:lineRule="exact"/>
        <w:ind w:firstLine="480" w:firstLineChars="200"/>
        <w:rPr>
          <w:rFonts w:ascii="宋体" w:hAnsi="宋体" w:cs="宋体"/>
          <w:color w:val="auto"/>
          <w:sz w:val="24"/>
          <w:szCs w:val="24"/>
        </w:rPr>
      </w:pPr>
      <w:r>
        <w:rPr>
          <w:rFonts w:hint="eastAsia" w:ascii="宋体" w:hAnsi="宋体" w:cs="宋体"/>
          <w:color w:val="auto"/>
          <w:sz w:val="24"/>
          <w:szCs w:val="24"/>
        </w:rPr>
        <w:t>（2）查明工程范围内有无不良地质作用和特殊性岩土，确定其成因、分布范围、对场地稳定性的影响程度、发展趋势，并提供防治工程所需的基本设计资料。</w:t>
      </w:r>
    </w:p>
    <w:p>
      <w:pPr>
        <w:spacing w:line="398" w:lineRule="exact"/>
        <w:ind w:firstLine="480" w:firstLineChars="200"/>
        <w:rPr>
          <w:rFonts w:ascii="宋体" w:hAnsi="宋体" w:cs="宋体"/>
          <w:color w:val="auto"/>
          <w:sz w:val="24"/>
          <w:szCs w:val="24"/>
        </w:rPr>
      </w:pPr>
      <w:r>
        <w:rPr>
          <w:rFonts w:hint="eastAsia" w:ascii="宋体" w:hAnsi="宋体" w:cs="宋体"/>
          <w:color w:val="auto"/>
          <w:sz w:val="24"/>
          <w:szCs w:val="24"/>
        </w:rPr>
        <w:t>（3）查明地层结构和岩土埋藏条件、物理力学性质、持力层和下卧软弱层的埋藏深度、厚度、性质及其变化，对岩土的均匀性、强度和变形性状做出定性和定量评价，提供地基变形计算参数，预测拟建构筑物的变形特征。</w:t>
      </w:r>
    </w:p>
    <w:p>
      <w:pPr>
        <w:spacing w:line="398" w:lineRule="exact"/>
        <w:ind w:firstLine="480" w:firstLineChars="200"/>
        <w:rPr>
          <w:rFonts w:ascii="宋体" w:hAnsi="宋体" w:cs="宋体"/>
          <w:color w:val="auto"/>
          <w:sz w:val="24"/>
          <w:szCs w:val="24"/>
        </w:rPr>
      </w:pPr>
      <w:r>
        <w:rPr>
          <w:rFonts w:hint="eastAsia" w:ascii="宋体" w:hAnsi="宋体" w:cs="宋体"/>
          <w:color w:val="auto"/>
          <w:sz w:val="24"/>
          <w:szCs w:val="24"/>
        </w:rPr>
        <w:t>（4）查明工程范围内水文地质及工程地质条件。提供详细的岩土勘察资料和设计所需的岩土技术参数，对道路路基、建（构）筑物基础等作出岩土工程分析评价，并对基础设计、地基处理等具体方案作出论证和建议，为设计提供依据。</w:t>
      </w:r>
    </w:p>
    <w:p>
      <w:pPr>
        <w:spacing w:line="398" w:lineRule="exact"/>
        <w:ind w:firstLine="480" w:firstLineChars="200"/>
        <w:rPr>
          <w:rFonts w:ascii="宋体" w:hAnsi="宋体" w:cs="宋体"/>
          <w:color w:val="auto"/>
          <w:sz w:val="24"/>
          <w:szCs w:val="24"/>
        </w:rPr>
      </w:pPr>
      <w:r>
        <w:rPr>
          <w:rFonts w:hint="eastAsia" w:ascii="宋体" w:hAnsi="宋体" w:cs="宋体"/>
          <w:color w:val="auto"/>
          <w:sz w:val="24"/>
          <w:szCs w:val="24"/>
        </w:rPr>
        <w:t>（5）查明场地抗震设防烈度，划分场地土类型及场地类别。判定埋深20.0m范围内饱和粉土、砂土液化的可能性。液化时提供液化等级及液化指数，并判定对工程的影响。</w:t>
      </w:r>
    </w:p>
    <w:p>
      <w:pPr>
        <w:spacing w:line="398" w:lineRule="exact"/>
        <w:ind w:firstLine="480" w:firstLineChars="200"/>
        <w:rPr>
          <w:rFonts w:ascii="宋体" w:hAnsi="宋体" w:cs="宋体"/>
          <w:color w:val="auto"/>
          <w:sz w:val="24"/>
          <w:szCs w:val="24"/>
        </w:rPr>
      </w:pPr>
      <w:r>
        <w:rPr>
          <w:rFonts w:hint="eastAsia" w:ascii="宋体" w:hAnsi="宋体" w:cs="宋体"/>
          <w:color w:val="auto"/>
          <w:sz w:val="24"/>
          <w:szCs w:val="24"/>
        </w:rPr>
        <w:t>（6）查明地表回填土的土类、厚度及其密实度；查明场区不良地质现象的成因、类型、性质、空间分布、发生和诱发条件、发展趋势及危害程度，论证对地基稳定性的影响程度，并提出计算参数和整治措施的建议。</w:t>
      </w:r>
    </w:p>
    <w:p>
      <w:pPr>
        <w:spacing w:line="398" w:lineRule="exact"/>
        <w:ind w:firstLine="480" w:firstLineChars="200"/>
        <w:rPr>
          <w:rFonts w:ascii="宋体" w:hAnsi="宋体" w:cs="宋体"/>
          <w:color w:val="auto"/>
          <w:sz w:val="24"/>
          <w:szCs w:val="24"/>
        </w:rPr>
      </w:pPr>
      <w:r>
        <w:rPr>
          <w:rFonts w:hint="eastAsia" w:ascii="宋体" w:hAnsi="宋体" w:cs="宋体"/>
          <w:color w:val="auto"/>
          <w:sz w:val="24"/>
          <w:szCs w:val="24"/>
        </w:rPr>
        <w:t>（7）查明地下水、地表水的分布、埋深、地下水补给条件及其变化幅度、腐蚀性等，评价地下水对地基基础的影响，特别要评价对建（构）筑物基础、管槽边坡稳定性和基坑开挖的影响，提出预防措施，判定水和土对建筑材料的腐蚀性。</w:t>
      </w:r>
    </w:p>
    <w:p>
      <w:pPr>
        <w:spacing w:line="398" w:lineRule="exact"/>
        <w:ind w:firstLine="480" w:firstLineChars="200"/>
        <w:rPr>
          <w:rFonts w:ascii="宋体" w:hAnsi="宋体" w:cs="宋体"/>
          <w:color w:val="auto"/>
          <w:sz w:val="24"/>
          <w:szCs w:val="24"/>
        </w:rPr>
      </w:pPr>
      <w:r>
        <w:rPr>
          <w:rFonts w:hint="eastAsia" w:ascii="宋体" w:hAnsi="宋体" w:cs="宋体"/>
          <w:color w:val="auto"/>
          <w:sz w:val="24"/>
          <w:szCs w:val="24"/>
        </w:rPr>
        <w:t>（8）场地如有不良地质现象（暗浜、暗塘、地下障碍物等），需进一步查明，需查明埋藏的河道、沟浜、防空洞、孤石等对工程不利的埋藏物。</w:t>
      </w:r>
    </w:p>
    <w:p>
      <w:pPr>
        <w:spacing w:line="398" w:lineRule="exact"/>
        <w:ind w:firstLine="480" w:firstLineChars="200"/>
        <w:rPr>
          <w:rFonts w:ascii="宋体" w:hAnsi="宋体" w:cs="宋体"/>
          <w:color w:val="auto"/>
          <w:sz w:val="24"/>
          <w:szCs w:val="24"/>
        </w:rPr>
      </w:pPr>
      <w:r>
        <w:rPr>
          <w:rFonts w:hint="eastAsia" w:ascii="宋体" w:hAnsi="宋体" w:cs="宋体"/>
          <w:color w:val="auto"/>
          <w:sz w:val="24"/>
          <w:szCs w:val="24"/>
        </w:rPr>
        <w:t>（9）提供场地土的标准冻结深度。</w:t>
      </w:r>
    </w:p>
    <w:p>
      <w:pPr>
        <w:spacing w:line="398" w:lineRule="exact"/>
        <w:ind w:firstLine="480" w:firstLineChars="200"/>
        <w:rPr>
          <w:rFonts w:ascii="宋体" w:hAnsi="宋体" w:cs="宋体"/>
          <w:color w:val="auto"/>
          <w:sz w:val="24"/>
          <w:szCs w:val="24"/>
        </w:rPr>
      </w:pPr>
      <w:r>
        <w:rPr>
          <w:rFonts w:hint="eastAsia" w:ascii="宋体" w:hAnsi="宋体" w:cs="宋体"/>
          <w:color w:val="auto"/>
          <w:sz w:val="24"/>
          <w:szCs w:val="24"/>
        </w:rPr>
        <w:t>（10）查清工程范围内人工填土的分布范围、深度、成分及均匀性，并评价其强度及变形条件；针对软弱土评价其沉陷的可能性，提供治理措施的建议。</w:t>
      </w:r>
    </w:p>
    <w:p>
      <w:pPr>
        <w:spacing w:line="398" w:lineRule="exact"/>
        <w:ind w:firstLine="480" w:firstLineChars="200"/>
        <w:rPr>
          <w:rFonts w:ascii="宋体" w:hAnsi="宋体" w:cs="宋体"/>
          <w:color w:val="auto"/>
          <w:sz w:val="24"/>
          <w:szCs w:val="24"/>
        </w:rPr>
      </w:pPr>
      <w:r>
        <w:rPr>
          <w:rFonts w:hint="eastAsia" w:ascii="宋体" w:hAnsi="宋体" w:cs="宋体"/>
          <w:color w:val="auto"/>
          <w:sz w:val="24"/>
          <w:szCs w:val="24"/>
        </w:rPr>
        <w:t>（11）分析地下水对工程施工影响和对工程结构的作用，预测基坑渗透破坏的可能性及危害程度，提出地下水控制所需的水文地质参数和地下水控制措施的建议，提供抗浮设计水位的建议。分析评价工程降水、岩土开挖对工程周边环境的影响，提出周边环境保护措施的建议。</w:t>
      </w:r>
    </w:p>
    <w:p>
      <w:pPr>
        <w:spacing w:line="398" w:lineRule="exact"/>
        <w:ind w:firstLine="480" w:firstLineChars="200"/>
        <w:rPr>
          <w:rFonts w:ascii="宋体" w:hAnsi="宋体" w:cs="宋体"/>
          <w:color w:val="auto"/>
          <w:sz w:val="24"/>
          <w:szCs w:val="24"/>
        </w:rPr>
      </w:pPr>
      <w:r>
        <w:rPr>
          <w:rFonts w:hint="eastAsia" w:ascii="宋体" w:hAnsi="宋体" w:cs="宋体"/>
          <w:color w:val="auto"/>
          <w:sz w:val="24"/>
          <w:szCs w:val="24"/>
        </w:rPr>
        <w:t>（12）依据工程地质和水文地质条件，结合设计及施工方法的要求，对各项指标以数理统计的方法分层处理，提出设计及施工方法所需要的技术参数；考虑到工程的特点，需重点对工程影响范围内地基土的垂直、水平渗透性进行统计分析，详细论述。</w:t>
      </w:r>
    </w:p>
    <w:p>
      <w:pPr>
        <w:spacing w:line="398" w:lineRule="exact"/>
        <w:ind w:firstLine="480" w:firstLineChars="200"/>
        <w:rPr>
          <w:rFonts w:ascii="宋体" w:hAnsi="宋体" w:cs="宋体"/>
          <w:color w:val="auto"/>
          <w:sz w:val="24"/>
          <w:szCs w:val="24"/>
        </w:rPr>
      </w:pPr>
      <w:r>
        <w:rPr>
          <w:rFonts w:hint="eastAsia" w:ascii="宋体" w:hAnsi="宋体" w:cs="宋体"/>
          <w:color w:val="auto"/>
          <w:sz w:val="24"/>
          <w:szCs w:val="24"/>
        </w:rPr>
        <w:t>（13）根据场地地质条件，对可供采用的构筑物及桥梁地基基础设计方案进行论证分析，建议适当的基础形式和基础持力层，比较不同类型桩在本工程的适用性，并提出经济合理的地基和基础设计方案和建议。提供所有推荐桩型设计、施工用岩土参数，论证桩的施工条件及其对环境的影响及打入式桩的挤土效应。</w:t>
      </w:r>
    </w:p>
    <w:p>
      <w:pPr>
        <w:spacing w:line="398" w:lineRule="exact"/>
        <w:ind w:firstLine="480" w:firstLineChars="200"/>
        <w:rPr>
          <w:rFonts w:ascii="宋体" w:hAnsi="宋体" w:cs="宋体"/>
          <w:color w:val="auto"/>
          <w:sz w:val="24"/>
          <w:szCs w:val="24"/>
        </w:rPr>
      </w:pPr>
      <w:r>
        <w:rPr>
          <w:rFonts w:hint="eastAsia" w:ascii="宋体" w:hAnsi="宋体" w:cs="宋体"/>
          <w:color w:val="auto"/>
          <w:sz w:val="24"/>
          <w:szCs w:val="24"/>
        </w:rPr>
        <w:t>（14）结合场地情况，针对可能采用的地基处理方案，提供地基处理设计和施工所需的岩土参数，提出地基处理方案的建议。</w:t>
      </w:r>
    </w:p>
    <w:p>
      <w:pPr>
        <w:spacing w:line="398" w:lineRule="exact"/>
        <w:rPr>
          <w:rFonts w:ascii="宋体" w:hAnsi="宋体" w:cs="宋体"/>
          <w:b/>
          <w:color w:val="auto"/>
          <w:sz w:val="24"/>
          <w:szCs w:val="24"/>
        </w:rPr>
      </w:pPr>
      <w:r>
        <w:rPr>
          <w:rFonts w:hint="eastAsia" w:ascii="宋体" w:hAnsi="宋体" w:cs="宋体"/>
          <w:b/>
          <w:color w:val="auto"/>
          <w:sz w:val="24"/>
          <w:szCs w:val="24"/>
        </w:rPr>
        <w:t>四、预计工作量</w:t>
      </w:r>
    </w:p>
    <w:tbl>
      <w:tblPr>
        <w:tblStyle w:val="20"/>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77"/>
        <w:gridCol w:w="2342"/>
        <w:gridCol w:w="1182"/>
        <w:gridCol w:w="1686"/>
        <w:gridCol w:w="1030"/>
        <w:gridCol w:w="111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trPr>
        <w:tc>
          <w:tcPr>
            <w:tcW w:w="689" w:type="pct"/>
            <w:noWrap/>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序号</w:t>
            </w:r>
          </w:p>
        </w:tc>
        <w:tc>
          <w:tcPr>
            <w:tcW w:w="1371" w:type="pct"/>
            <w:noWrap/>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项目名称</w:t>
            </w:r>
          </w:p>
        </w:tc>
        <w:tc>
          <w:tcPr>
            <w:tcW w:w="692" w:type="pct"/>
            <w:noWrap/>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计费单位</w:t>
            </w:r>
          </w:p>
        </w:tc>
        <w:tc>
          <w:tcPr>
            <w:tcW w:w="987" w:type="pct"/>
            <w:noWrap/>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收费标准</w:t>
            </w:r>
          </w:p>
        </w:tc>
        <w:tc>
          <w:tcPr>
            <w:tcW w:w="603" w:type="pct"/>
            <w:noWrap/>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工作量</w:t>
            </w:r>
          </w:p>
        </w:tc>
        <w:tc>
          <w:tcPr>
            <w:tcW w:w="655" w:type="pct"/>
            <w:noWrap/>
            <w:vAlign w:val="center"/>
          </w:tcPr>
          <w:p>
            <w:pPr>
              <w:widowControl/>
              <w:jc w:val="left"/>
              <w:rPr>
                <w:rFonts w:ascii="宋体" w:hAnsi="宋体" w:cs="宋体"/>
                <w:b/>
                <w:bCs/>
                <w:color w:val="auto"/>
                <w:kern w:val="0"/>
                <w:sz w:val="24"/>
                <w:szCs w:val="24"/>
              </w:rPr>
            </w:pPr>
            <w:r>
              <w:rPr>
                <w:rFonts w:hint="eastAsia" w:ascii="宋体" w:hAnsi="宋体" w:cs="宋体"/>
                <w:b/>
                <w:bCs/>
                <w:color w:val="auto"/>
                <w:kern w:val="0"/>
                <w:sz w:val="24"/>
                <w:szCs w:val="24"/>
              </w:rPr>
              <w:t xml:space="preserve"> 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trPr>
        <w:tc>
          <w:tcPr>
            <w:tcW w:w="689" w:type="pct"/>
            <w:vMerge w:val="restart"/>
            <w:noWrap/>
            <w:vAlign w:val="center"/>
          </w:tcPr>
          <w:p>
            <w:pPr>
              <w:jc w:val="center"/>
              <w:rPr>
                <w:rFonts w:ascii="宋体" w:hAnsi="宋体" w:cs="宋体"/>
                <w:color w:val="auto"/>
                <w:kern w:val="0"/>
                <w:sz w:val="24"/>
                <w:szCs w:val="24"/>
              </w:rPr>
            </w:pPr>
            <w:r>
              <w:rPr>
                <w:rFonts w:hint="eastAsia" w:ascii="宋体" w:hAnsi="宋体" w:cs="宋体"/>
                <w:color w:val="auto"/>
                <w:kern w:val="0"/>
                <w:sz w:val="24"/>
                <w:szCs w:val="24"/>
              </w:rPr>
              <w:t>陆地钻探</w:t>
            </w:r>
          </w:p>
        </w:tc>
        <w:tc>
          <w:tcPr>
            <w:tcW w:w="1371" w:type="pct"/>
            <w:vMerge w:val="restar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陆地钻孔</w:t>
            </w:r>
          </w:p>
        </w:tc>
        <w:tc>
          <w:tcPr>
            <w:tcW w:w="692"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m</w:t>
            </w:r>
          </w:p>
        </w:tc>
        <w:tc>
          <w:tcPr>
            <w:tcW w:w="987"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D≤10 m</w:t>
            </w:r>
          </w:p>
        </w:tc>
        <w:tc>
          <w:tcPr>
            <w:tcW w:w="603"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 xml:space="preserve">1000.0 </w:t>
            </w:r>
          </w:p>
        </w:tc>
        <w:tc>
          <w:tcPr>
            <w:tcW w:w="655"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Ⅰ类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trPr>
        <w:tc>
          <w:tcPr>
            <w:tcW w:w="689" w:type="pct"/>
            <w:vMerge w:val="continue"/>
            <w:noWrap/>
            <w:vAlign w:val="center"/>
          </w:tcPr>
          <w:p>
            <w:pPr>
              <w:jc w:val="center"/>
              <w:rPr>
                <w:rFonts w:ascii="宋体" w:hAnsi="宋体" w:cs="宋体"/>
                <w:color w:val="auto"/>
                <w:kern w:val="0"/>
                <w:sz w:val="24"/>
                <w:szCs w:val="24"/>
              </w:rPr>
            </w:pPr>
          </w:p>
        </w:tc>
        <w:tc>
          <w:tcPr>
            <w:tcW w:w="1371" w:type="pct"/>
            <w:vMerge w:val="continue"/>
            <w:noWrap/>
            <w:vAlign w:val="center"/>
          </w:tcPr>
          <w:p>
            <w:pPr>
              <w:widowControl/>
              <w:jc w:val="left"/>
              <w:rPr>
                <w:rFonts w:ascii="宋体" w:hAnsi="宋体" w:cs="宋体"/>
                <w:color w:val="auto"/>
                <w:kern w:val="0"/>
                <w:sz w:val="24"/>
                <w:szCs w:val="24"/>
              </w:rPr>
            </w:pPr>
          </w:p>
        </w:tc>
        <w:tc>
          <w:tcPr>
            <w:tcW w:w="692"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m</w:t>
            </w:r>
          </w:p>
        </w:tc>
        <w:tc>
          <w:tcPr>
            <w:tcW w:w="987"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D≤10 m</w:t>
            </w:r>
          </w:p>
        </w:tc>
        <w:tc>
          <w:tcPr>
            <w:tcW w:w="603"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 xml:space="preserve">540.0 </w:t>
            </w:r>
          </w:p>
        </w:tc>
        <w:tc>
          <w:tcPr>
            <w:tcW w:w="655"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Ⅲ类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trPr>
        <w:tc>
          <w:tcPr>
            <w:tcW w:w="689" w:type="pct"/>
            <w:vMerge w:val="continue"/>
            <w:noWrap/>
            <w:vAlign w:val="center"/>
          </w:tcPr>
          <w:p>
            <w:pPr>
              <w:jc w:val="center"/>
              <w:rPr>
                <w:rFonts w:ascii="宋体" w:hAnsi="宋体" w:cs="宋体"/>
                <w:color w:val="auto"/>
                <w:kern w:val="0"/>
                <w:sz w:val="24"/>
                <w:szCs w:val="24"/>
              </w:rPr>
            </w:pPr>
          </w:p>
        </w:tc>
        <w:tc>
          <w:tcPr>
            <w:tcW w:w="1371" w:type="pct"/>
            <w:vMerge w:val="continue"/>
            <w:noWrap/>
            <w:vAlign w:val="center"/>
          </w:tcPr>
          <w:p>
            <w:pPr>
              <w:widowControl/>
              <w:jc w:val="left"/>
              <w:rPr>
                <w:rFonts w:ascii="宋体" w:hAnsi="宋体" w:cs="宋体"/>
                <w:color w:val="auto"/>
                <w:kern w:val="0"/>
                <w:sz w:val="24"/>
                <w:szCs w:val="24"/>
              </w:rPr>
            </w:pPr>
          </w:p>
        </w:tc>
        <w:tc>
          <w:tcPr>
            <w:tcW w:w="692"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m</w:t>
            </w:r>
          </w:p>
        </w:tc>
        <w:tc>
          <w:tcPr>
            <w:tcW w:w="987"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10＜D≤20 m</w:t>
            </w:r>
          </w:p>
        </w:tc>
        <w:tc>
          <w:tcPr>
            <w:tcW w:w="603"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 xml:space="preserve">1000.0 </w:t>
            </w:r>
          </w:p>
        </w:tc>
        <w:tc>
          <w:tcPr>
            <w:tcW w:w="655"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Ⅰ类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trPr>
        <w:tc>
          <w:tcPr>
            <w:tcW w:w="689" w:type="pct"/>
            <w:vMerge w:val="continue"/>
            <w:noWrap/>
            <w:vAlign w:val="center"/>
          </w:tcPr>
          <w:p>
            <w:pPr>
              <w:jc w:val="center"/>
              <w:rPr>
                <w:rFonts w:ascii="宋体" w:hAnsi="宋体" w:cs="宋体"/>
                <w:color w:val="auto"/>
                <w:kern w:val="0"/>
                <w:sz w:val="24"/>
                <w:szCs w:val="24"/>
              </w:rPr>
            </w:pPr>
          </w:p>
        </w:tc>
        <w:tc>
          <w:tcPr>
            <w:tcW w:w="1371" w:type="pct"/>
            <w:vMerge w:val="continue"/>
            <w:noWrap/>
            <w:vAlign w:val="center"/>
          </w:tcPr>
          <w:p>
            <w:pPr>
              <w:widowControl/>
              <w:jc w:val="left"/>
              <w:rPr>
                <w:rFonts w:ascii="宋体" w:hAnsi="宋体" w:cs="宋体"/>
                <w:color w:val="auto"/>
                <w:kern w:val="0"/>
                <w:sz w:val="24"/>
                <w:szCs w:val="24"/>
              </w:rPr>
            </w:pPr>
          </w:p>
        </w:tc>
        <w:tc>
          <w:tcPr>
            <w:tcW w:w="692"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m</w:t>
            </w:r>
          </w:p>
        </w:tc>
        <w:tc>
          <w:tcPr>
            <w:tcW w:w="987"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10＜D≤20 m</w:t>
            </w:r>
          </w:p>
        </w:tc>
        <w:tc>
          <w:tcPr>
            <w:tcW w:w="603"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 xml:space="preserve">540.0 </w:t>
            </w:r>
          </w:p>
        </w:tc>
        <w:tc>
          <w:tcPr>
            <w:tcW w:w="655"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Ⅲ类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trPr>
        <w:tc>
          <w:tcPr>
            <w:tcW w:w="689" w:type="pct"/>
            <w:vMerge w:val="continue"/>
            <w:noWrap/>
            <w:vAlign w:val="center"/>
          </w:tcPr>
          <w:p>
            <w:pPr>
              <w:jc w:val="center"/>
              <w:rPr>
                <w:rFonts w:ascii="宋体" w:hAnsi="宋体" w:cs="宋体"/>
                <w:color w:val="auto"/>
                <w:kern w:val="0"/>
                <w:sz w:val="24"/>
                <w:szCs w:val="24"/>
              </w:rPr>
            </w:pPr>
          </w:p>
        </w:tc>
        <w:tc>
          <w:tcPr>
            <w:tcW w:w="1371" w:type="pct"/>
            <w:vMerge w:val="continue"/>
            <w:noWrap/>
            <w:vAlign w:val="center"/>
          </w:tcPr>
          <w:p>
            <w:pPr>
              <w:widowControl/>
              <w:jc w:val="left"/>
              <w:rPr>
                <w:rFonts w:ascii="宋体" w:hAnsi="宋体" w:cs="宋体"/>
                <w:color w:val="auto"/>
                <w:kern w:val="0"/>
                <w:sz w:val="24"/>
                <w:szCs w:val="24"/>
              </w:rPr>
            </w:pPr>
          </w:p>
        </w:tc>
        <w:tc>
          <w:tcPr>
            <w:tcW w:w="692"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m</w:t>
            </w:r>
          </w:p>
        </w:tc>
        <w:tc>
          <w:tcPr>
            <w:tcW w:w="987"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20＜D≤30 m</w:t>
            </w:r>
          </w:p>
        </w:tc>
        <w:tc>
          <w:tcPr>
            <w:tcW w:w="603"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 xml:space="preserve">1000.0 </w:t>
            </w:r>
          </w:p>
        </w:tc>
        <w:tc>
          <w:tcPr>
            <w:tcW w:w="655"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Ⅰ类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trPr>
        <w:tc>
          <w:tcPr>
            <w:tcW w:w="689" w:type="pct"/>
            <w:vMerge w:val="continue"/>
            <w:noWrap/>
            <w:vAlign w:val="center"/>
          </w:tcPr>
          <w:p>
            <w:pPr>
              <w:jc w:val="center"/>
              <w:rPr>
                <w:rFonts w:ascii="宋体" w:hAnsi="宋体" w:cs="宋体"/>
                <w:color w:val="auto"/>
                <w:kern w:val="0"/>
                <w:sz w:val="24"/>
                <w:szCs w:val="24"/>
              </w:rPr>
            </w:pPr>
          </w:p>
        </w:tc>
        <w:tc>
          <w:tcPr>
            <w:tcW w:w="1371" w:type="pct"/>
            <w:vMerge w:val="continue"/>
            <w:noWrap/>
            <w:vAlign w:val="center"/>
          </w:tcPr>
          <w:p>
            <w:pPr>
              <w:widowControl/>
              <w:jc w:val="left"/>
              <w:rPr>
                <w:rFonts w:ascii="宋体" w:hAnsi="宋体" w:cs="宋体"/>
                <w:color w:val="auto"/>
                <w:kern w:val="0"/>
                <w:sz w:val="24"/>
                <w:szCs w:val="24"/>
              </w:rPr>
            </w:pPr>
          </w:p>
        </w:tc>
        <w:tc>
          <w:tcPr>
            <w:tcW w:w="692"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m</w:t>
            </w:r>
          </w:p>
        </w:tc>
        <w:tc>
          <w:tcPr>
            <w:tcW w:w="987"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20＜D≤30 m</w:t>
            </w:r>
          </w:p>
        </w:tc>
        <w:tc>
          <w:tcPr>
            <w:tcW w:w="603"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 xml:space="preserve">295.0 </w:t>
            </w:r>
          </w:p>
        </w:tc>
        <w:tc>
          <w:tcPr>
            <w:tcW w:w="655"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Ⅲ类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trPr>
        <w:tc>
          <w:tcPr>
            <w:tcW w:w="689" w:type="pct"/>
            <w:vMerge w:val="continue"/>
            <w:noWrap/>
            <w:vAlign w:val="center"/>
          </w:tcPr>
          <w:p>
            <w:pPr>
              <w:jc w:val="center"/>
              <w:rPr>
                <w:rFonts w:ascii="宋体" w:hAnsi="宋体" w:cs="宋体"/>
                <w:color w:val="auto"/>
                <w:kern w:val="0"/>
                <w:sz w:val="24"/>
                <w:szCs w:val="24"/>
              </w:rPr>
            </w:pPr>
          </w:p>
        </w:tc>
        <w:tc>
          <w:tcPr>
            <w:tcW w:w="1371" w:type="pct"/>
            <w:vMerge w:val="continue"/>
            <w:noWrap/>
            <w:vAlign w:val="center"/>
          </w:tcPr>
          <w:p>
            <w:pPr>
              <w:widowControl/>
              <w:jc w:val="left"/>
              <w:rPr>
                <w:rFonts w:ascii="宋体" w:hAnsi="宋体" w:cs="宋体"/>
                <w:color w:val="auto"/>
                <w:kern w:val="0"/>
                <w:sz w:val="24"/>
                <w:szCs w:val="24"/>
              </w:rPr>
            </w:pPr>
          </w:p>
        </w:tc>
        <w:tc>
          <w:tcPr>
            <w:tcW w:w="692"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m</w:t>
            </w:r>
          </w:p>
        </w:tc>
        <w:tc>
          <w:tcPr>
            <w:tcW w:w="987"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30＜D≤40 m</w:t>
            </w:r>
          </w:p>
        </w:tc>
        <w:tc>
          <w:tcPr>
            <w:tcW w:w="603"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 xml:space="preserve">900.0 </w:t>
            </w:r>
          </w:p>
        </w:tc>
        <w:tc>
          <w:tcPr>
            <w:tcW w:w="655"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Ⅰ类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trPr>
        <w:tc>
          <w:tcPr>
            <w:tcW w:w="689" w:type="pct"/>
            <w:vMerge w:val="continue"/>
            <w:noWrap/>
            <w:vAlign w:val="center"/>
          </w:tcPr>
          <w:p>
            <w:pPr>
              <w:jc w:val="center"/>
              <w:rPr>
                <w:rFonts w:ascii="宋体" w:hAnsi="宋体" w:cs="宋体"/>
                <w:color w:val="auto"/>
                <w:kern w:val="0"/>
                <w:sz w:val="24"/>
                <w:szCs w:val="24"/>
              </w:rPr>
            </w:pPr>
          </w:p>
        </w:tc>
        <w:tc>
          <w:tcPr>
            <w:tcW w:w="1371" w:type="pct"/>
            <w:vMerge w:val="continue"/>
            <w:noWrap/>
            <w:vAlign w:val="center"/>
          </w:tcPr>
          <w:p>
            <w:pPr>
              <w:widowControl/>
              <w:jc w:val="left"/>
              <w:rPr>
                <w:rFonts w:ascii="宋体" w:hAnsi="宋体" w:cs="宋体"/>
                <w:color w:val="auto"/>
                <w:kern w:val="0"/>
                <w:sz w:val="24"/>
                <w:szCs w:val="24"/>
              </w:rPr>
            </w:pPr>
          </w:p>
        </w:tc>
        <w:tc>
          <w:tcPr>
            <w:tcW w:w="692"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m</w:t>
            </w:r>
          </w:p>
        </w:tc>
        <w:tc>
          <w:tcPr>
            <w:tcW w:w="987"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30＜D≤40 m</w:t>
            </w:r>
          </w:p>
        </w:tc>
        <w:tc>
          <w:tcPr>
            <w:tcW w:w="603"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 xml:space="preserve">110.0 </w:t>
            </w:r>
          </w:p>
        </w:tc>
        <w:tc>
          <w:tcPr>
            <w:tcW w:w="655"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Ⅲ类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trPr>
        <w:tc>
          <w:tcPr>
            <w:tcW w:w="689" w:type="pct"/>
            <w:vMerge w:val="continue"/>
            <w:noWrap/>
            <w:vAlign w:val="center"/>
          </w:tcPr>
          <w:p>
            <w:pPr>
              <w:jc w:val="center"/>
              <w:rPr>
                <w:rFonts w:ascii="宋体" w:hAnsi="宋体" w:cs="宋体"/>
                <w:color w:val="auto"/>
                <w:kern w:val="0"/>
                <w:sz w:val="24"/>
                <w:szCs w:val="24"/>
              </w:rPr>
            </w:pPr>
          </w:p>
        </w:tc>
        <w:tc>
          <w:tcPr>
            <w:tcW w:w="1371" w:type="pct"/>
            <w:vMerge w:val="continue"/>
            <w:noWrap/>
            <w:vAlign w:val="center"/>
          </w:tcPr>
          <w:p>
            <w:pPr>
              <w:widowControl/>
              <w:jc w:val="left"/>
              <w:rPr>
                <w:rFonts w:ascii="宋体" w:hAnsi="宋体" w:cs="宋体"/>
                <w:color w:val="auto"/>
                <w:kern w:val="0"/>
                <w:sz w:val="24"/>
                <w:szCs w:val="24"/>
              </w:rPr>
            </w:pPr>
          </w:p>
        </w:tc>
        <w:tc>
          <w:tcPr>
            <w:tcW w:w="692"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m</w:t>
            </w:r>
          </w:p>
        </w:tc>
        <w:tc>
          <w:tcPr>
            <w:tcW w:w="987"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40＜D≤50 m</w:t>
            </w:r>
          </w:p>
        </w:tc>
        <w:tc>
          <w:tcPr>
            <w:tcW w:w="603"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 xml:space="preserve">800.0 </w:t>
            </w:r>
          </w:p>
        </w:tc>
        <w:tc>
          <w:tcPr>
            <w:tcW w:w="655"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Ⅰ类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trPr>
        <w:tc>
          <w:tcPr>
            <w:tcW w:w="689" w:type="pct"/>
            <w:vMerge w:val="continue"/>
            <w:noWrap/>
            <w:vAlign w:val="center"/>
          </w:tcPr>
          <w:p>
            <w:pPr>
              <w:jc w:val="center"/>
              <w:rPr>
                <w:rFonts w:ascii="宋体" w:hAnsi="宋体" w:cs="宋体"/>
                <w:color w:val="auto"/>
                <w:kern w:val="0"/>
                <w:sz w:val="24"/>
                <w:szCs w:val="24"/>
              </w:rPr>
            </w:pPr>
          </w:p>
        </w:tc>
        <w:tc>
          <w:tcPr>
            <w:tcW w:w="1371" w:type="pct"/>
            <w:vMerge w:val="continue"/>
            <w:noWrap/>
            <w:vAlign w:val="center"/>
          </w:tcPr>
          <w:p>
            <w:pPr>
              <w:widowControl/>
              <w:jc w:val="left"/>
              <w:rPr>
                <w:rFonts w:ascii="宋体" w:hAnsi="宋体" w:cs="宋体"/>
                <w:color w:val="auto"/>
                <w:kern w:val="0"/>
                <w:sz w:val="24"/>
                <w:szCs w:val="24"/>
              </w:rPr>
            </w:pPr>
          </w:p>
        </w:tc>
        <w:tc>
          <w:tcPr>
            <w:tcW w:w="692"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m</w:t>
            </w:r>
          </w:p>
        </w:tc>
        <w:tc>
          <w:tcPr>
            <w:tcW w:w="987"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40＜D≤50 m</w:t>
            </w:r>
          </w:p>
        </w:tc>
        <w:tc>
          <w:tcPr>
            <w:tcW w:w="603"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 xml:space="preserve">70.0 </w:t>
            </w:r>
          </w:p>
        </w:tc>
        <w:tc>
          <w:tcPr>
            <w:tcW w:w="655"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Ⅲ类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trPr>
        <w:tc>
          <w:tcPr>
            <w:tcW w:w="689" w:type="pct"/>
            <w:vMerge w:val="continue"/>
            <w:noWrap/>
            <w:vAlign w:val="center"/>
          </w:tcPr>
          <w:p>
            <w:pPr>
              <w:jc w:val="center"/>
              <w:rPr>
                <w:rFonts w:ascii="宋体" w:hAnsi="宋体" w:cs="宋体"/>
                <w:color w:val="auto"/>
                <w:kern w:val="0"/>
                <w:sz w:val="24"/>
                <w:szCs w:val="24"/>
              </w:rPr>
            </w:pPr>
          </w:p>
        </w:tc>
        <w:tc>
          <w:tcPr>
            <w:tcW w:w="1371" w:type="pct"/>
            <w:vMerge w:val="continue"/>
            <w:noWrap/>
            <w:vAlign w:val="center"/>
          </w:tcPr>
          <w:p>
            <w:pPr>
              <w:widowControl/>
              <w:jc w:val="left"/>
              <w:rPr>
                <w:rFonts w:ascii="宋体" w:hAnsi="宋体" w:cs="宋体"/>
                <w:color w:val="auto"/>
                <w:kern w:val="0"/>
                <w:sz w:val="24"/>
                <w:szCs w:val="24"/>
              </w:rPr>
            </w:pPr>
          </w:p>
        </w:tc>
        <w:tc>
          <w:tcPr>
            <w:tcW w:w="692"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m</w:t>
            </w:r>
          </w:p>
        </w:tc>
        <w:tc>
          <w:tcPr>
            <w:tcW w:w="987"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50＜D≤60 m</w:t>
            </w:r>
          </w:p>
        </w:tc>
        <w:tc>
          <w:tcPr>
            <w:tcW w:w="603"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 xml:space="preserve">400.0 </w:t>
            </w:r>
          </w:p>
        </w:tc>
        <w:tc>
          <w:tcPr>
            <w:tcW w:w="655"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Ⅰ类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trPr>
        <w:tc>
          <w:tcPr>
            <w:tcW w:w="689" w:type="pct"/>
            <w:vMerge w:val="continue"/>
            <w:noWrap/>
            <w:vAlign w:val="center"/>
          </w:tcPr>
          <w:p>
            <w:pPr>
              <w:jc w:val="center"/>
              <w:rPr>
                <w:rFonts w:ascii="宋体" w:hAnsi="宋体" w:cs="宋体"/>
                <w:color w:val="auto"/>
                <w:kern w:val="0"/>
                <w:sz w:val="24"/>
                <w:szCs w:val="24"/>
              </w:rPr>
            </w:pPr>
          </w:p>
        </w:tc>
        <w:tc>
          <w:tcPr>
            <w:tcW w:w="1371" w:type="pct"/>
            <w:vMerge w:val="continue"/>
            <w:noWrap/>
            <w:vAlign w:val="center"/>
          </w:tcPr>
          <w:p>
            <w:pPr>
              <w:widowControl/>
              <w:jc w:val="left"/>
              <w:rPr>
                <w:rFonts w:ascii="宋体" w:hAnsi="宋体" w:cs="宋体"/>
                <w:color w:val="auto"/>
                <w:kern w:val="0"/>
                <w:sz w:val="24"/>
                <w:szCs w:val="24"/>
              </w:rPr>
            </w:pPr>
          </w:p>
        </w:tc>
        <w:tc>
          <w:tcPr>
            <w:tcW w:w="692"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m</w:t>
            </w:r>
          </w:p>
        </w:tc>
        <w:tc>
          <w:tcPr>
            <w:tcW w:w="987"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50＜D≤60 m</w:t>
            </w:r>
          </w:p>
        </w:tc>
        <w:tc>
          <w:tcPr>
            <w:tcW w:w="603"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 xml:space="preserve">50.0 </w:t>
            </w:r>
          </w:p>
        </w:tc>
        <w:tc>
          <w:tcPr>
            <w:tcW w:w="655"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Ⅲ类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trPr>
        <w:tc>
          <w:tcPr>
            <w:tcW w:w="689" w:type="pct"/>
            <w:vMerge w:val="continue"/>
            <w:noWrap/>
            <w:vAlign w:val="center"/>
          </w:tcPr>
          <w:p>
            <w:pPr>
              <w:jc w:val="center"/>
              <w:rPr>
                <w:rFonts w:ascii="宋体" w:hAnsi="宋体" w:cs="宋体"/>
                <w:color w:val="auto"/>
                <w:kern w:val="0"/>
                <w:sz w:val="24"/>
                <w:szCs w:val="24"/>
              </w:rPr>
            </w:pPr>
          </w:p>
        </w:tc>
        <w:tc>
          <w:tcPr>
            <w:tcW w:w="1371" w:type="pct"/>
            <w:vMerge w:val="continue"/>
            <w:noWrap/>
            <w:vAlign w:val="center"/>
          </w:tcPr>
          <w:p>
            <w:pPr>
              <w:widowControl/>
              <w:jc w:val="left"/>
              <w:rPr>
                <w:rFonts w:ascii="宋体" w:hAnsi="宋体" w:cs="宋体"/>
                <w:color w:val="auto"/>
                <w:kern w:val="0"/>
                <w:sz w:val="24"/>
                <w:szCs w:val="24"/>
              </w:rPr>
            </w:pPr>
          </w:p>
        </w:tc>
        <w:tc>
          <w:tcPr>
            <w:tcW w:w="692"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m</w:t>
            </w:r>
          </w:p>
        </w:tc>
        <w:tc>
          <w:tcPr>
            <w:tcW w:w="987"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60＜D≤80 m</w:t>
            </w:r>
          </w:p>
        </w:tc>
        <w:tc>
          <w:tcPr>
            <w:tcW w:w="603"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 xml:space="preserve">800.0 </w:t>
            </w:r>
          </w:p>
        </w:tc>
        <w:tc>
          <w:tcPr>
            <w:tcW w:w="655"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Ⅰ类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trPr>
        <w:tc>
          <w:tcPr>
            <w:tcW w:w="689" w:type="pct"/>
            <w:vMerge w:val="continue"/>
            <w:noWrap/>
            <w:vAlign w:val="center"/>
          </w:tcPr>
          <w:p>
            <w:pPr>
              <w:jc w:val="center"/>
              <w:rPr>
                <w:rFonts w:ascii="宋体" w:hAnsi="宋体" w:cs="宋体"/>
                <w:color w:val="auto"/>
                <w:kern w:val="0"/>
                <w:sz w:val="24"/>
                <w:szCs w:val="24"/>
              </w:rPr>
            </w:pPr>
          </w:p>
        </w:tc>
        <w:tc>
          <w:tcPr>
            <w:tcW w:w="1371" w:type="pct"/>
            <w:vMerge w:val="continue"/>
            <w:noWrap/>
            <w:vAlign w:val="center"/>
          </w:tcPr>
          <w:p>
            <w:pPr>
              <w:widowControl/>
              <w:jc w:val="left"/>
              <w:rPr>
                <w:rFonts w:ascii="宋体" w:hAnsi="宋体" w:cs="宋体"/>
                <w:color w:val="auto"/>
                <w:kern w:val="0"/>
                <w:sz w:val="24"/>
                <w:szCs w:val="24"/>
              </w:rPr>
            </w:pPr>
          </w:p>
        </w:tc>
        <w:tc>
          <w:tcPr>
            <w:tcW w:w="692"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m</w:t>
            </w:r>
          </w:p>
        </w:tc>
        <w:tc>
          <w:tcPr>
            <w:tcW w:w="987"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60＜D≤80 m</w:t>
            </w:r>
          </w:p>
        </w:tc>
        <w:tc>
          <w:tcPr>
            <w:tcW w:w="603"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 xml:space="preserve">0.0 </w:t>
            </w:r>
          </w:p>
        </w:tc>
        <w:tc>
          <w:tcPr>
            <w:tcW w:w="655"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Ⅲ类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trPr>
        <w:tc>
          <w:tcPr>
            <w:tcW w:w="689" w:type="pct"/>
            <w:vMerge w:val="continue"/>
            <w:noWrap/>
            <w:vAlign w:val="center"/>
          </w:tcPr>
          <w:p>
            <w:pPr>
              <w:jc w:val="center"/>
              <w:rPr>
                <w:rFonts w:ascii="宋体" w:hAnsi="宋体" w:cs="宋体"/>
                <w:color w:val="auto"/>
                <w:kern w:val="0"/>
                <w:sz w:val="24"/>
                <w:szCs w:val="24"/>
              </w:rPr>
            </w:pPr>
          </w:p>
        </w:tc>
        <w:tc>
          <w:tcPr>
            <w:tcW w:w="1371" w:type="pct"/>
            <w:vMerge w:val="continue"/>
            <w:noWrap/>
            <w:vAlign w:val="center"/>
          </w:tcPr>
          <w:p>
            <w:pPr>
              <w:widowControl/>
              <w:jc w:val="left"/>
              <w:rPr>
                <w:rFonts w:ascii="宋体" w:hAnsi="宋体" w:cs="宋体"/>
                <w:color w:val="auto"/>
                <w:kern w:val="0"/>
                <w:sz w:val="24"/>
                <w:szCs w:val="24"/>
              </w:rPr>
            </w:pPr>
          </w:p>
        </w:tc>
        <w:tc>
          <w:tcPr>
            <w:tcW w:w="692"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m</w:t>
            </w:r>
          </w:p>
        </w:tc>
        <w:tc>
          <w:tcPr>
            <w:tcW w:w="987"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80＜D≤100 m</w:t>
            </w:r>
          </w:p>
        </w:tc>
        <w:tc>
          <w:tcPr>
            <w:tcW w:w="603"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 xml:space="preserve">360.0 </w:t>
            </w:r>
          </w:p>
        </w:tc>
        <w:tc>
          <w:tcPr>
            <w:tcW w:w="655"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Ⅰ类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trPr>
        <w:tc>
          <w:tcPr>
            <w:tcW w:w="689" w:type="pct"/>
            <w:vMerge w:val="continue"/>
            <w:noWrap/>
            <w:vAlign w:val="center"/>
          </w:tcPr>
          <w:p>
            <w:pPr>
              <w:jc w:val="center"/>
              <w:rPr>
                <w:rFonts w:ascii="宋体" w:hAnsi="宋体" w:cs="宋体"/>
                <w:color w:val="auto"/>
                <w:kern w:val="0"/>
                <w:sz w:val="24"/>
                <w:szCs w:val="24"/>
              </w:rPr>
            </w:pPr>
          </w:p>
        </w:tc>
        <w:tc>
          <w:tcPr>
            <w:tcW w:w="1371" w:type="pct"/>
            <w:vMerge w:val="continue"/>
            <w:noWrap/>
            <w:vAlign w:val="center"/>
          </w:tcPr>
          <w:p>
            <w:pPr>
              <w:widowControl/>
              <w:jc w:val="left"/>
              <w:rPr>
                <w:rFonts w:ascii="宋体" w:hAnsi="宋体" w:cs="宋体"/>
                <w:color w:val="auto"/>
                <w:kern w:val="0"/>
                <w:sz w:val="24"/>
                <w:szCs w:val="24"/>
              </w:rPr>
            </w:pPr>
          </w:p>
        </w:tc>
        <w:tc>
          <w:tcPr>
            <w:tcW w:w="692"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m</w:t>
            </w:r>
          </w:p>
        </w:tc>
        <w:tc>
          <w:tcPr>
            <w:tcW w:w="987"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80＜D≤100 m</w:t>
            </w:r>
          </w:p>
        </w:tc>
        <w:tc>
          <w:tcPr>
            <w:tcW w:w="603"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 xml:space="preserve">0.0 </w:t>
            </w:r>
          </w:p>
        </w:tc>
        <w:tc>
          <w:tcPr>
            <w:tcW w:w="655"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Ⅲ类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trPr>
        <w:tc>
          <w:tcPr>
            <w:tcW w:w="689" w:type="pct"/>
            <w:vMerge w:val="continue"/>
            <w:noWrap/>
            <w:vAlign w:val="center"/>
          </w:tcPr>
          <w:p>
            <w:pPr>
              <w:jc w:val="center"/>
              <w:rPr>
                <w:rFonts w:ascii="宋体" w:hAnsi="宋体" w:cs="宋体"/>
                <w:color w:val="auto"/>
                <w:kern w:val="0"/>
                <w:sz w:val="24"/>
                <w:szCs w:val="24"/>
              </w:rPr>
            </w:pPr>
          </w:p>
        </w:tc>
        <w:tc>
          <w:tcPr>
            <w:tcW w:w="1371" w:type="pct"/>
            <w:vMerge w:val="restar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标准贯入试验</w:t>
            </w:r>
          </w:p>
        </w:tc>
        <w:tc>
          <w:tcPr>
            <w:tcW w:w="692"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次</w:t>
            </w:r>
          </w:p>
        </w:tc>
        <w:tc>
          <w:tcPr>
            <w:tcW w:w="987"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D≤20 m</w:t>
            </w:r>
          </w:p>
        </w:tc>
        <w:tc>
          <w:tcPr>
            <w:tcW w:w="603"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 xml:space="preserve">800 </w:t>
            </w:r>
          </w:p>
        </w:tc>
        <w:tc>
          <w:tcPr>
            <w:tcW w:w="655"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Ⅰ类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trPr>
        <w:tc>
          <w:tcPr>
            <w:tcW w:w="689" w:type="pct"/>
            <w:vMerge w:val="continue"/>
            <w:noWrap/>
            <w:vAlign w:val="center"/>
          </w:tcPr>
          <w:p>
            <w:pPr>
              <w:jc w:val="center"/>
              <w:rPr>
                <w:rFonts w:ascii="宋体" w:hAnsi="宋体" w:cs="宋体"/>
                <w:color w:val="auto"/>
                <w:kern w:val="0"/>
                <w:sz w:val="24"/>
                <w:szCs w:val="24"/>
              </w:rPr>
            </w:pPr>
          </w:p>
        </w:tc>
        <w:tc>
          <w:tcPr>
            <w:tcW w:w="1371" w:type="pct"/>
            <w:vMerge w:val="continue"/>
            <w:noWrap/>
            <w:vAlign w:val="center"/>
          </w:tcPr>
          <w:p>
            <w:pPr>
              <w:widowControl/>
              <w:jc w:val="left"/>
              <w:rPr>
                <w:rFonts w:ascii="宋体" w:hAnsi="宋体" w:cs="宋体"/>
                <w:color w:val="auto"/>
                <w:kern w:val="0"/>
                <w:sz w:val="24"/>
                <w:szCs w:val="24"/>
              </w:rPr>
            </w:pPr>
          </w:p>
        </w:tc>
        <w:tc>
          <w:tcPr>
            <w:tcW w:w="692"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次</w:t>
            </w:r>
          </w:p>
        </w:tc>
        <w:tc>
          <w:tcPr>
            <w:tcW w:w="987"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D≤20 m</w:t>
            </w:r>
          </w:p>
        </w:tc>
        <w:tc>
          <w:tcPr>
            <w:tcW w:w="603"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 xml:space="preserve">100 </w:t>
            </w:r>
          </w:p>
        </w:tc>
        <w:tc>
          <w:tcPr>
            <w:tcW w:w="655"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Ⅲ类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trPr>
        <w:tc>
          <w:tcPr>
            <w:tcW w:w="689" w:type="pct"/>
            <w:vMerge w:val="continue"/>
            <w:noWrap/>
            <w:vAlign w:val="center"/>
          </w:tcPr>
          <w:p>
            <w:pPr>
              <w:jc w:val="center"/>
              <w:rPr>
                <w:rFonts w:ascii="宋体" w:hAnsi="宋体" w:cs="宋体"/>
                <w:color w:val="auto"/>
                <w:kern w:val="0"/>
                <w:sz w:val="24"/>
                <w:szCs w:val="24"/>
              </w:rPr>
            </w:pPr>
          </w:p>
        </w:tc>
        <w:tc>
          <w:tcPr>
            <w:tcW w:w="1371" w:type="pct"/>
            <w:vMerge w:val="continue"/>
            <w:noWrap/>
            <w:vAlign w:val="center"/>
          </w:tcPr>
          <w:p>
            <w:pPr>
              <w:widowControl/>
              <w:jc w:val="left"/>
              <w:rPr>
                <w:rFonts w:ascii="宋体" w:hAnsi="宋体" w:cs="宋体"/>
                <w:color w:val="auto"/>
                <w:kern w:val="0"/>
                <w:sz w:val="24"/>
                <w:szCs w:val="24"/>
              </w:rPr>
            </w:pPr>
          </w:p>
        </w:tc>
        <w:tc>
          <w:tcPr>
            <w:tcW w:w="692"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次</w:t>
            </w:r>
          </w:p>
        </w:tc>
        <w:tc>
          <w:tcPr>
            <w:tcW w:w="987"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20＜D≤50 m</w:t>
            </w:r>
          </w:p>
        </w:tc>
        <w:tc>
          <w:tcPr>
            <w:tcW w:w="603"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 xml:space="preserve">600 </w:t>
            </w:r>
          </w:p>
        </w:tc>
        <w:tc>
          <w:tcPr>
            <w:tcW w:w="655"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Ⅰ类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trPr>
        <w:tc>
          <w:tcPr>
            <w:tcW w:w="689" w:type="pct"/>
            <w:vMerge w:val="continue"/>
            <w:noWrap/>
            <w:vAlign w:val="center"/>
          </w:tcPr>
          <w:p>
            <w:pPr>
              <w:jc w:val="center"/>
              <w:rPr>
                <w:rFonts w:ascii="宋体" w:hAnsi="宋体" w:cs="宋体"/>
                <w:color w:val="auto"/>
                <w:kern w:val="0"/>
                <w:sz w:val="24"/>
                <w:szCs w:val="24"/>
              </w:rPr>
            </w:pPr>
          </w:p>
        </w:tc>
        <w:tc>
          <w:tcPr>
            <w:tcW w:w="1371" w:type="pct"/>
            <w:vMerge w:val="continue"/>
            <w:noWrap/>
            <w:vAlign w:val="center"/>
          </w:tcPr>
          <w:p>
            <w:pPr>
              <w:widowControl/>
              <w:jc w:val="left"/>
              <w:rPr>
                <w:rFonts w:ascii="宋体" w:hAnsi="宋体" w:cs="宋体"/>
                <w:color w:val="auto"/>
                <w:kern w:val="0"/>
                <w:sz w:val="24"/>
                <w:szCs w:val="24"/>
              </w:rPr>
            </w:pPr>
          </w:p>
        </w:tc>
        <w:tc>
          <w:tcPr>
            <w:tcW w:w="692"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次</w:t>
            </w:r>
          </w:p>
        </w:tc>
        <w:tc>
          <w:tcPr>
            <w:tcW w:w="987"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20＜D≤50 m</w:t>
            </w:r>
          </w:p>
        </w:tc>
        <w:tc>
          <w:tcPr>
            <w:tcW w:w="603"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 xml:space="preserve">100 </w:t>
            </w:r>
          </w:p>
        </w:tc>
        <w:tc>
          <w:tcPr>
            <w:tcW w:w="655"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Ⅲ类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trPr>
        <w:tc>
          <w:tcPr>
            <w:tcW w:w="689" w:type="pct"/>
            <w:vMerge w:val="continue"/>
            <w:noWrap/>
            <w:vAlign w:val="center"/>
          </w:tcPr>
          <w:p>
            <w:pPr>
              <w:jc w:val="center"/>
              <w:rPr>
                <w:rFonts w:ascii="宋体" w:hAnsi="宋体" w:cs="宋体"/>
                <w:color w:val="auto"/>
                <w:kern w:val="0"/>
                <w:sz w:val="24"/>
                <w:szCs w:val="24"/>
              </w:rPr>
            </w:pPr>
          </w:p>
        </w:tc>
        <w:tc>
          <w:tcPr>
            <w:tcW w:w="1371" w:type="pct"/>
            <w:vMerge w:val="continue"/>
            <w:noWrap/>
            <w:vAlign w:val="center"/>
          </w:tcPr>
          <w:p>
            <w:pPr>
              <w:widowControl/>
              <w:jc w:val="left"/>
              <w:rPr>
                <w:rFonts w:ascii="宋体" w:hAnsi="宋体" w:cs="宋体"/>
                <w:color w:val="auto"/>
                <w:kern w:val="0"/>
                <w:sz w:val="24"/>
                <w:szCs w:val="24"/>
              </w:rPr>
            </w:pPr>
          </w:p>
        </w:tc>
        <w:tc>
          <w:tcPr>
            <w:tcW w:w="692"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次</w:t>
            </w:r>
          </w:p>
        </w:tc>
        <w:tc>
          <w:tcPr>
            <w:tcW w:w="987"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50＜D</w:t>
            </w:r>
          </w:p>
        </w:tc>
        <w:tc>
          <w:tcPr>
            <w:tcW w:w="603"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 xml:space="preserve">400 </w:t>
            </w:r>
          </w:p>
        </w:tc>
        <w:tc>
          <w:tcPr>
            <w:tcW w:w="655"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Ⅰ类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trPr>
        <w:tc>
          <w:tcPr>
            <w:tcW w:w="689" w:type="pct"/>
            <w:vMerge w:val="continue"/>
            <w:noWrap/>
            <w:vAlign w:val="center"/>
          </w:tcPr>
          <w:p>
            <w:pPr>
              <w:jc w:val="center"/>
              <w:rPr>
                <w:rFonts w:ascii="宋体" w:hAnsi="宋体" w:cs="宋体"/>
                <w:color w:val="auto"/>
                <w:kern w:val="0"/>
                <w:sz w:val="24"/>
                <w:szCs w:val="24"/>
              </w:rPr>
            </w:pPr>
          </w:p>
        </w:tc>
        <w:tc>
          <w:tcPr>
            <w:tcW w:w="1371" w:type="pct"/>
            <w:vMerge w:val="continue"/>
            <w:noWrap/>
            <w:vAlign w:val="center"/>
          </w:tcPr>
          <w:p>
            <w:pPr>
              <w:widowControl/>
              <w:jc w:val="left"/>
              <w:rPr>
                <w:rFonts w:ascii="宋体" w:hAnsi="宋体" w:cs="宋体"/>
                <w:color w:val="auto"/>
                <w:kern w:val="0"/>
                <w:sz w:val="24"/>
                <w:szCs w:val="24"/>
              </w:rPr>
            </w:pPr>
          </w:p>
        </w:tc>
        <w:tc>
          <w:tcPr>
            <w:tcW w:w="692"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次</w:t>
            </w:r>
          </w:p>
        </w:tc>
        <w:tc>
          <w:tcPr>
            <w:tcW w:w="987"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50＜D</w:t>
            </w:r>
          </w:p>
        </w:tc>
        <w:tc>
          <w:tcPr>
            <w:tcW w:w="603"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 xml:space="preserve">50 </w:t>
            </w:r>
          </w:p>
        </w:tc>
        <w:tc>
          <w:tcPr>
            <w:tcW w:w="655"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Ⅲ类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trPr>
        <w:tc>
          <w:tcPr>
            <w:tcW w:w="689" w:type="pct"/>
            <w:vMerge w:val="continue"/>
            <w:noWrap/>
            <w:vAlign w:val="center"/>
          </w:tcPr>
          <w:p>
            <w:pPr>
              <w:widowControl/>
              <w:jc w:val="center"/>
              <w:rPr>
                <w:rFonts w:ascii="宋体" w:hAnsi="宋体" w:cs="宋体"/>
                <w:color w:val="auto"/>
                <w:kern w:val="0"/>
                <w:sz w:val="24"/>
                <w:szCs w:val="24"/>
              </w:rPr>
            </w:pPr>
          </w:p>
        </w:tc>
        <w:tc>
          <w:tcPr>
            <w:tcW w:w="1371" w:type="pct"/>
            <w:vMerge w:val="restar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钻孔波速测试</w:t>
            </w:r>
          </w:p>
        </w:tc>
        <w:tc>
          <w:tcPr>
            <w:tcW w:w="692"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m</w:t>
            </w:r>
          </w:p>
        </w:tc>
        <w:tc>
          <w:tcPr>
            <w:tcW w:w="987"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D≤15 m</w:t>
            </w:r>
          </w:p>
        </w:tc>
        <w:tc>
          <w:tcPr>
            <w:tcW w:w="603"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 xml:space="preserve">150 </w:t>
            </w:r>
          </w:p>
        </w:tc>
        <w:tc>
          <w:tcPr>
            <w:tcW w:w="655" w:type="pct"/>
            <w:vMerge w:val="restart"/>
            <w:noWrap/>
            <w:vAlign w:val="center"/>
          </w:tcPr>
          <w:p>
            <w:pPr>
              <w:widowControl/>
              <w:jc w:val="center"/>
              <w:rPr>
                <w:rFonts w:ascii="宋体" w:hAnsi="宋体" w:cs="宋体"/>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trPr>
        <w:tc>
          <w:tcPr>
            <w:tcW w:w="689" w:type="pct"/>
            <w:vMerge w:val="continue"/>
            <w:noWrap/>
            <w:vAlign w:val="center"/>
          </w:tcPr>
          <w:p>
            <w:pPr>
              <w:widowControl/>
              <w:jc w:val="left"/>
              <w:rPr>
                <w:rFonts w:ascii="宋体" w:hAnsi="宋体" w:cs="宋体"/>
                <w:color w:val="auto"/>
                <w:kern w:val="0"/>
                <w:sz w:val="24"/>
                <w:szCs w:val="24"/>
              </w:rPr>
            </w:pPr>
          </w:p>
        </w:tc>
        <w:tc>
          <w:tcPr>
            <w:tcW w:w="1371" w:type="pct"/>
            <w:vMerge w:val="continue"/>
            <w:noWrap/>
            <w:vAlign w:val="center"/>
          </w:tcPr>
          <w:p>
            <w:pPr>
              <w:widowControl/>
              <w:jc w:val="left"/>
              <w:rPr>
                <w:rFonts w:ascii="宋体" w:hAnsi="宋体" w:cs="宋体"/>
                <w:color w:val="auto"/>
                <w:kern w:val="0"/>
                <w:sz w:val="24"/>
                <w:szCs w:val="24"/>
              </w:rPr>
            </w:pPr>
          </w:p>
        </w:tc>
        <w:tc>
          <w:tcPr>
            <w:tcW w:w="692"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m</w:t>
            </w:r>
          </w:p>
        </w:tc>
        <w:tc>
          <w:tcPr>
            <w:tcW w:w="987"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15＜D≤30 m</w:t>
            </w:r>
          </w:p>
        </w:tc>
        <w:tc>
          <w:tcPr>
            <w:tcW w:w="603"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 xml:space="preserve">90 </w:t>
            </w:r>
          </w:p>
        </w:tc>
        <w:tc>
          <w:tcPr>
            <w:tcW w:w="655" w:type="pct"/>
            <w:vMerge w:val="continue"/>
            <w:noWrap/>
            <w:vAlign w:val="center"/>
          </w:tcPr>
          <w:p>
            <w:pPr>
              <w:widowControl/>
              <w:jc w:val="left"/>
              <w:rPr>
                <w:rFonts w:ascii="宋体" w:hAnsi="宋体" w:cs="宋体"/>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trPr>
        <w:tc>
          <w:tcPr>
            <w:tcW w:w="689" w:type="pct"/>
            <w:vMerge w:val="continue"/>
            <w:noWrap/>
            <w:vAlign w:val="center"/>
          </w:tcPr>
          <w:p>
            <w:pPr>
              <w:widowControl/>
              <w:jc w:val="left"/>
              <w:rPr>
                <w:rFonts w:ascii="宋体" w:hAnsi="宋体" w:cs="宋体"/>
                <w:color w:val="auto"/>
                <w:kern w:val="0"/>
                <w:sz w:val="24"/>
                <w:szCs w:val="24"/>
              </w:rPr>
            </w:pPr>
          </w:p>
        </w:tc>
        <w:tc>
          <w:tcPr>
            <w:tcW w:w="1371" w:type="pct"/>
            <w:vMerge w:val="continue"/>
            <w:noWrap/>
            <w:vAlign w:val="center"/>
          </w:tcPr>
          <w:p>
            <w:pPr>
              <w:widowControl/>
              <w:jc w:val="left"/>
              <w:rPr>
                <w:rFonts w:ascii="宋体" w:hAnsi="宋体" w:cs="宋体"/>
                <w:color w:val="auto"/>
                <w:kern w:val="0"/>
                <w:sz w:val="24"/>
                <w:szCs w:val="24"/>
              </w:rPr>
            </w:pPr>
          </w:p>
        </w:tc>
        <w:tc>
          <w:tcPr>
            <w:tcW w:w="692"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m</w:t>
            </w:r>
          </w:p>
        </w:tc>
        <w:tc>
          <w:tcPr>
            <w:tcW w:w="987"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30＜D≤50 m</w:t>
            </w:r>
          </w:p>
        </w:tc>
        <w:tc>
          <w:tcPr>
            <w:tcW w:w="603"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 xml:space="preserve">80 </w:t>
            </w:r>
          </w:p>
        </w:tc>
        <w:tc>
          <w:tcPr>
            <w:tcW w:w="655" w:type="pct"/>
            <w:vMerge w:val="continue"/>
            <w:noWrap/>
            <w:vAlign w:val="center"/>
          </w:tcPr>
          <w:p>
            <w:pPr>
              <w:widowControl/>
              <w:jc w:val="left"/>
              <w:rPr>
                <w:rFonts w:ascii="宋体" w:hAnsi="宋体" w:cs="宋体"/>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trPr>
        <w:tc>
          <w:tcPr>
            <w:tcW w:w="689" w:type="pct"/>
            <w:vMerge w:val="continue"/>
            <w:noWrap/>
            <w:vAlign w:val="center"/>
          </w:tcPr>
          <w:p>
            <w:pPr>
              <w:widowControl/>
              <w:jc w:val="left"/>
              <w:rPr>
                <w:rFonts w:ascii="宋体" w:hAnsi="宋体" w:cs="宋体"/>
                <w:color w:val="auto"/>
                <w:kern w:val="0"/>
                <w:sz w:val="24"/>
                <w:szCs w:val="24"/>
              </w:rPr>
            </w:pPr>
          </w:p>
        </w:tc>
        <w:tc>
          <w:tcPr>
            <w:tcW w:w="1371" w:type="pct"/>
            <w:vMerge w:val="continue"/>
            <w:noWrap/>
            <w:vAlign w:val="center"/>
          </w:tcPr>
          <w:p>
            <w:pPr>
              <w:widowControl/>
              <w:jc w:val="left"/>
              <w:rPr>
                <w:rFonts w:ascii="宋体" w:hAnsi="宋体" w:cs="宋体"/>
                <w:color w:val="auto"/>
                <w:kern w:val="0"/>
                <w:sz w:val="24"/>
                <w:szCs w:val="24"/>
              </w:rPr>
            </w:pPr>
          </w:p>
        </w:tc>
        <w:tc>
          <w:tcPr>
            <w:tcW w:w="692"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m</w:t>
            </w:r>
          </w:p>
        </w:tc>
        <w:tc>
          <w:tcPr>
            <w:tcW w:w="987"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50＜D≤70m</w:t>
            </w:r>
          </w:p>
        </w:tc>
        <w:tc>
          <w:tcPr>
            <w:tcW w:w="603"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 xml:space="preserve">80 </w:t>
            </w:r>
          </w:p>
        </w:tc>
        <w:tc>
          <w:tcPr>
            <w:tcW w:w="655" w:type="pct"/>
            <w:vMerge w:val="continue"/>
            <w:noWrap/>
            <w:vAlign w:val="center"/>
          </w:tcPr>
          <w:p>
            <w:pPr>
              <w:widowControl/>
              <w:jc w:val="left"/>
              <w:rPr>
                <w:rFonts w:ascii="宋体" w:hAnsi="宋体" w:cs="宋体"/>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trPr>
        <w:tc>
          <w:tcPr>
            <w:tcW w:w="689" w:type="pct"/>
            <w:vMerge w:val="continue"/>
            <w:noWrap/>
            <w:vAlign w:val="center"/>
          </w:tcPr>
          <w:p>
            <w:pPr>
              <w:widowControl/>
              <w:jc w:val="left"/>
              <w:rPr>
                <w:rFonts w:ascii="宋体" w:hAnsi="宋体" w:cs="宋体"/>
                <w:color w:val="auto"/>
                <w:kern w:val="0"/>
                <w:sz w:val="24"/>
                <w:szCs w:val="24"/>
              </w:rPr>
            </w:pPr>
          </w:p>
        </w:tc>
        <w:tc>
          <w:tcPr>
            <w:tcW w:w="1371" w:type="pct"/>
            <w:vMerge w:val="continue"/>
            <w:noWrap/>
            <w:vAlign w:val="center"/>
          </w:tcPr>
          <w:p>
            <w:pPr>
              <w:widowControl/>
              <w:jc w:val="left"/>
              <w:rPr>
                <w:rFonts w:ascii="宋体" w:hAnsi="宋体" w:cs="宋体"/>
                <w:color w:val="auto"/>
                <w:kern w:val="0"/>
                <w:sz w:val="24"/>
                <w:szCs w:val="24"/>
              </w:rPr>
            </w:pPr>
          </w:p>
        </w:tc>
        <w:tc>
          <w:tcPr>
            <w:tcW w:w="692"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m</w:t>
            </w:r>
          </w:p>
        </w:tc>
        <w:tc>
          <w:tcPr>
            <w:tcW w:w="987"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70＜D≤90m</w:t>
            </w:r>
          </w:p>
        </w:tc>
        <w:tc>
          <w:tcPr>
            <w:tcW w:w="603"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 xml:space="preserve">80 </w:t>
            </w:r>
          </w:p>
        </w:tc>
        <w:tc>
          <w:tcPr>
            <w:tcW w:w="655" w:type="pct"/>
            <w:vMerge w:val="continue"/>
            <w:noWrap/>
            <w:vAlign w:val="center"/>
          </w:tcPr>
          <w:p>
            <w:pPr>
              <w:widowControl/>
              <w:jc w:val="left"/>
              <w:rPr>
                <w:rFonts w:ascii="宋体" w:hAnsi="宋体" w:cs="宋体"/>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trPr>
        <w:tc>
          <w:tcPr>
            <w:tcW w:w="689" w:type="pct"/>
            <w:vMerge w:val="continue"/>
            <w:noWrap/>
            <w:vAlign w:val="center"/>
          </w:tcPr>
          <w:p>
            <w:pPr>
              <w:widowControl/>
              <w:jc w:val="left"/>
              <w:rPr>
                <w:rFonts w:ascii="宋体" w:hAnsi="宋体" w:cs="宋体"/>
                <w:color w:val="auto"/>
                <w:kern w:val="0"/>
                <w:sz w:val="24"/>
                <w:szCs w:val="24"/>
              </w:rPr>
            </w:pPr>
          </w:p>
        </w:tc>
        <w:tc>
          <w:tcPr>
            <w:tcW w:w="1371" w:type="pct"/>
            <w:vMerge w:val="continue"/>
            <w:noWrap/>
            <w:vAlign w:val="center"/>
          </w:tcPr>
          <w:p>
            <w:pPr>
              <w:widowControl/>
              <w:jc w:val="left"/>
              <w:rPr>
                <w:rFonts w:ascii="宋体" w:hAnsi="宋体" w:cs="宋体"/>
                <w:color w:val="auto"/>
                <w:kern w:val="0"/>
                <w:sz w:val="24"/>
                <w:szCs w:val="24"/>
              </w:rPr>
            </w:pPr>
          </w:p>
        </w:tc>
        <w:tc>
          <w:tcPr>
            <w:tcW w:w="692"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m</w:t>
            </w:r>
          </w:p>
        </w:tc>
        <w:tc>
          <w:tcPr>
            <w:tcW w:w="987"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90＜D≤110m</w:t>
            </w:r>
          </w:p>
        </w:tc>
        <w:tc>
          <w:tcPr>
            <w:tcW w:w="603"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 xml:space="preserve">40 </w:t>
            </w:r>
          </w:p>
        </w:tc>
        <w:tc>
          <w:tcPr>
            <w:tcW w:w="655" w:type="pct"/>
            <w:vMerge w:val="continue"/>
            <w:noWrap/>
            <w:vAlign w:val="center"/>
          </w:tcPr>
          <w:p>
            <w:pPr>
              <w:widowControl/>
              <w:jc w:val="left"/>
              <w:rPr>
                <w:rFonts w:ascii="宋体" w:hAnsi="宋体" w:cs="宋体"/>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trPr>
        <w:tc>
          <w:tcPr>
            <w:tcW w:w="689" w:type="pct"/>
            <w:vMerge w:val="restart"/>
            <w:noWrap/>
            <w:vAlign w:val="center"/>
          </w:tcPr>
          <w:p>
            <w:pPr>
              <w:jc w:val="center"/>
              <w:rPr>
                <w:rFonts w:ascii="宋体" w:hAnsi="宋体" w:cs="宋体"/>
                <w:color w:val="auto"/>
                <w:kern w:val="0"/>
                <w:sz w:val="24"/>
                <w:szCs w:val="24"/>
              </w:rPr>
            </w:pPr>
            <w:r>
              <w:rPr>
                <w:rFonts w:hint="eastAsia" w:ascii="宋体" w:hAnsi="宋体" w:cs="宋体"/>
                <w:color w:val="auto"/>
                <w:kern w:val="0"/>
                <w:sz w:val="24"/>
                <w:szCs w:val="24"/>
              </w:rPr>
              <w:t>水上钻探</w:t>
            </w:r>
          </w:p>
        </w:tc>
        <w:tc>
          <w:tcPr>
            <w:tcW w:w="1371" w:type="pct"/>
            <w:vMerge w:val="restar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陆地钻孔</w:t>
            </w:r>
          </w:p>
        </w:tc>
        <w:tc>
          <w:tcPr>
            <w:tcW w:w="692"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m</w:t>
            </w:r>
          </w:p>
        </w:tc>
        <w:tc>
          <w:tcPr>
            <w:tcW w:w="987"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D≤10 m</w:t>
            </w:r>
          </w:p>
        </w:tc>
        <w:tc>
          <w:tcPr>
            <w:tcW w:w="603"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 xml:space="preserve">900.0 </w:t>
            </w:r>
          </w:p>
        </w:tc>
        <w:tc>
          <w:tcPr>
            <w:tcW w:w="655"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Ⅰ类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trPr>
        <w:tc>
          <w:tcPr>
            <w:tcW w:w="689" w:type="pct"/>
            <w:vMerge w:val="continue"/>
            <w:noWrap/>
            <w:vAlign w:val="center"/>
          </w:tcPr>
          <w:p>
            <w:pPr>
              <w:jc w:val="center"/>
              <w:rPr>
                <w:rFonts w:ascii="宋体" w:hAnsi="宋体" w:cs="宋体"/>
                <w:color w:val="auto"/>
                <w:kern w:val="0"/>
                <w:sz w:val="24"/>
                <w:szCs w:val="24"/>
              </w:rPr>
            </w:pPr>
          </w:p>
        </w:tc>
        <w:tc>
          <w:tcPr>
            <w:tcW w:w="1371" w:type="pct"/>
            <w:vMerge w:val="continue"/>
            <w:noWrap/>
            <w:vAlign w:val="center"/>
          </w:tcPr>
          <w:p>
            <w:pPr>
              <w:widowControl/>
              <w:jc w:val="left"/>
              <w:rPr>
                <w:rFonts w:ascii="宋体" w:hAnsi="宋体" w:cs="宋体"/>
                <w:color w:val="auto"/>
                <w:kern w:val="0"/>
                <w:sz w:val="24"/>
                <w:szCs w:val="24"/>
              </w:rPr>
            </w:pPr>
          </w:p>
        </w:tc>
        <w:tc>
          <w:tcPr>
            <w:tcW w:w="692"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m</w:t>
            </w:r>
          </w:p>
        </w:tc>
        <w:tc>
          <w:tcPr>
            <w:tcW w:w="987"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D≤10 m</w:t>
            </w:r>
          </w:p>
        </w:tc>
        <w:tc>
          <w:tcPr>
            <w:tcW w:w="603"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 xml:space="preserve">310.0 </w:t>
            </w:r>
          </w:p>
        </w:tc>
        <w:tc>
          <w:tcPr>
            <w:tcW w:w="655"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Ⅲ类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trPr>
        <w:tc>
          <w:tcPr>
            <w:tcW w:w="689" w:type="pct"/>
            <w:vMerge w:val="continue"/>
            <w:noWrap/>
            <w:vAlign w:val="center"/>
          </w:tcPr>
          <w:p>
            <w:pPr>
              <w:jc w:val="center"/>
              <w:rPr>
                <w:rFonts w:ascii="宋体" w:hAnsi="宋体" w:cs="宋体"/>
                <w:color w:val="auto"/>
                <w:kern w:val="0"/>
                <w:sz w:val="24"/>
                <w:szCs w:val="24"/>
              </w:rPr>
            </w:pPr>
          </w:p>
        </w:tc>
        <w:tc>
          <w:tcPr>
            <w:tcW w:w="1371" w:type="pct"/>
            <w:vMerge w:val="continue"/>
            <w:noWrap/>
            <w:vAlign w:val="center"/>
          </w:tcPr>
          <w:p>
            <w:pPr>
              <w:widowControl/>
              <w:jc w:val="left"/>
              <w:rPr>
                <w:rFonts w:ascii="宋体" w:hAnsi="宋体" w:cs="宋体"/>
                <w:color w:val="auto"/>
                <w:kern w:val="0"/>
                <w:sz w:val="24"/>
                <w:szCs w:val="24"/>
              </w:rPr>
            </w:pPr>
          </w:p>
        </w:tc>
        <w:tc>
          <w:tcPr>
            <w:tcW w:w="692"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m</w:t>
            </w:r>
          </w:p>
        </w:tc>
        <w:tc>
          <w:tcPr>
            <w:tcW w:w="987"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10＜D≤20 m</w:t>
            </w:r>
          </w:p>
        </w:tc>
        <w:tc>
          <w:tcPr>
            <w:tcW w:w="603"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 xml:space="preserve">900.0 </w:t>
            </w:r>
          </w:p>
        </w:tc>
        <w:tc>
          <w:tcPr>
            <w:tcW w:w="655"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Ⅰ类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trPr>
        <w:tc>
          <w:tcPr>
            <w:tcW w:w="689" w:type="pct"/>
            <w:vMerge w:val="continue"/>
            <w:noWrap/>
            <w:vAlign w:val="center"/>
          </w:tcPr>
          <w:p>
            <w:pPr>
              <w:jc w:val="center"/>
              <w:rPr>
                <w:rFonts w:ascii="宋体" w:hAnsi="宋体" w:cs="宋体"/>
                <w:color w:val="auto"/>
                <w:kern w:val="0"/>
                <w:sz w:val="24"/>
                <w:szCs w:val="24"/>
              </w:rPr>
            </w:pPr>
          </w:p>
        </w:tc>
        <w:tc>
          <w:tcPr>
            <w:tcW w:w="1371" w:type="pct"/>
            <w:vMerge w:val="continue"/>
            <w:noWrap/>
            <w:vAlign w:val="center"/>
          </w:tcPr>
          <w:p>
            <w:pPr>
              <w:widowControl/>
              <w:jc w:val="left"/>
              <w:rPr>
                <w:rFonts w:ascii="宋体" w:hAnsi="宋体" w:cs="宋体"/>
                <w:color w:val="auto"/>
                <w:kern w:val="0"/>
                <w:sz w:val="24"/>
                <w:szCs w:val="24"/>
              </w:rPr>
            </w:pPr>
          </w:p>
        </w:tc>
        <w:tc>
          <w:tcPr>
            <w:tcW w:w="692"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m</w:t>
            </w:r>
          </w:p>
        </w:tc>
        <w:tc>
          <w:tcPr>
            <w:tcW w:w="987"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10＜D≤20 m</w:t>
            </w:r>
          </w:p>
        </w:tc>
        <w:tc>
          <w:tcPr>
            <w:tcW w:w="603"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 xml:space="preserve">310.0 </w:t>
            </w:r>
          </w:p>
        </w:tc>
        <w:tc>
          <w:tcPr>
            <w:tcW w:w="655"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Ⅲ类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trPr>
        <w:tc>
          <w:tcPr>
            <w:tcW w:w="689" w:type="pct"/>
            <w:vMerge w:val="continue"/>
            <w:noWrap/>
            <w:vAlign w:val="center"/>
          </w:tcPr>
          <w:p>
            <w:pPr>
              <w:jc w:val="center"/>
              <w:rPr>
                <w:rFonts w:ascii="宋体" w:hAnsi="宋体" w:cs="宋体"/>
                <w:color w:val="auto"/>
                <w:kern w:val="0"/>
                <w:sz w:val="24"/>
                <w:szCs w:val="24"/>
              </w:rPr>
            </w:pPr>
          </w:p>
        </w:tc>
        <w:tc>
          <w:tcPr>
            <w:tcW w:w="1371" w:type="pct"/>
            <w:vMerge w:val="continue"/>
            <w:noWrap/>
            <w:vAlign w:val="center"/>
          </w:tcPr>
          <w:p>
            <w:pPr>
              <w:widowControl/>
              <w:jc w:val="left"/>
              <w:rPr>
                <w:rFonts w:ascii="宋体" w:hAnsi="宋体" w:cs="宋体"/>
                <w:color w:val="auto"/>
                <w:kern w:val="0"/>
                <w:sz w:val="24"/>
                <w:szCs w:val="24"/>
              </w:rPr>
            </w:pPr>
          </w:p>
        </w:tc>
        <w:tc>
          <w:tcPr>
            <w:tcW w:w="692"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m</w:t>
            </w:r>
          </w:p>
        </w:tc>
        <w:tc>
          <w:tcPr>
            <w:tcW w:w="987"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20＜D≤30 m</w:t>
            </w:r>
          </w:p>
        </w:tc>
        <w:tc>
          <w:tcPr>
            <w:tcW w:w="603"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 xml:space="preserve">900.0 </w:t>
            </w:r>
          </w:p>
        </w:tc>
        <w:tc>
          <w:tcPr>
            <w:tcW w:w="655"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Ⅰ类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trPr>
        <w:tc>
          <w:tcPr>
            <w:tcW w:w="689" w:type="pct"/>
            <w:vMerge w:val="continue"/>
            <w:noWrap/>
            <w:vAlign w:val="center"/>
          </w:tcPr>
          <w:p>
            <w:pPr>
              <w:jc w:val="center"/>
              <w:rPr>
                <w:rFonts w:ascii="宋体" w:hAnsi="宋体" w:cs="宋体"/>
                <w:color w:val="auto"/>
                <w:kern w:val="0"/>
                <w:sz w:val="24"/>
                <w:szCs w:val="24"/>
              </w:rPr>
            </w:pPr>
          </w:p>
        </w:tc>
        <w:tc>
          <w:tcPr>
            <w:tcW w:w="1371" w:type="pct"/>
            <w:vMerge w:val="continue"/>
            <w:noWrap/>
            <w:vAlign w:val="center"/>
          </w:tcPr>
          <w:p>
            <w:pPr>
              <w:widowControl/>
              <w:jc w:val="left"/>
              <w:rPr>
                <w:rFonts w:ascii="宋体" w:hAnsi="宋体" w:cs="宋体"/>
                <w:color w:val="auto"/>
                <w:kern w:val="0"/>
                <w:sz w:val="24"/>
                <w:szCs w:val="24"/>
              </w:rPr>
            </w:pPr>
          </w:p>
        </w:tc>
        <w:tc>
          <w:tcPr>
            <w:tcW w:w="692"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m</w:t>
            </w:r>
          </w:p>
        </w:tc>
        <w:tc>
          <w:tcPr>
            <w:tcW w:w="987"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20＜D≤30 m</w:t>
            </w:r>
          </w:p>
        </w:tc>
        <w:tc>
          <w:tcPr>
            <w:tcW w:w="603"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 xml:space="preserve">105.0 </w:t>
            </w:r>
          </w:p>
        </w:tc>
        <w:tc>
          <w:tcPr>
            <w:tcW w:w="655"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Ⅲ类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trPr>
        <w:tc>
          <w:tcPr>
            <w:tcW w:w="689" w:type="pct"/>
            <w:vMerge w:val="continue"/>
            <w:noWrap/>
            <w:vAlign w:val="center"/>
          </w:tcPr>
          <w:p>
            <w:pPr>
              <w:jc w:val="center"/>
              <w:rPr>
                <w:rFonts w:ascii="宋体" w:hAnsi="宋体" w:cs="宋体"/>
                <w:color w:val="auto"/>
                <w:kern w:val="0"/>
                <w:sz w:val="24"/>
                <w:szCs w:val="24"/>
              </w:rPr>
            </w:pPr>
          </w:p>
        </w:tc>
        <w:tc>
          <w:tcPr>
            <w:tcW w:w="1371" w:type="pct"/>
            <w:vMerge w:val="continue"/>
            <w:noWrap/>
            <w:vAlign w:val="center"/>
          </w:tcPr>
          <w:p>
            <w:pPr>
              <w:widowControl/>
              <w:jc w:val="left"/>
              <w:rPr>
                <w:rFonts w:ascii="宋体" w:hAnsi="宋体" w:cs="宋体"/>
                <w:color w:val="auto"/>
                <w:kern w:val="0"/>
                <w:sz w:val="24"/>
                <w:szCs w:val="24"/>
              </w:rPr>
            </w:pPr>
          </w:p>
        </w:tc>
        <w:tc>
          <w:tcPr>
            <w:tcW w:w="692"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m</w:t>
            </w:r>
          </w:p>
        </w:tc>
        <w:tc>
          <w:tcPr>
            <w:tcW w:w="987"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30＜D≤40 m</w:t>
            </w:r>
          </w:p>
        </w:tc>
        <w:tc>
          <w:tcPr>
            <w:tcW w:w="603"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 xml:space="preserve">700.0 </w:t>
            </w:r>
          </w:p>
        </w:tc>
        <w:tc>
          <w:tcPr>
            <w:tcW w:w="655"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Ⅰ类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trPr>
        <w:tc>
          <w:tcPr>
            <w:tcW w:w="689" w:type="pct"/>
            <w:vMerge w:val="continue"/>
            <w:noWrap/>
            <w:vAlign w:val="center"/>
          </w:tcPr>
          <w:p>
            <w:pPr>
              <w:jc w:val="center"/>
              <w:rPr>
                <w:rFonts w:ascii="宋体" w:hAnsi="宋体" w:cs="宋体"/>
                <w:color w:val="auto"/>
                <w:kern w:val="0"/>
                <w:sz w:val="24"/>
                <w:szCs w:val="24"/>
              </w:rPr>
            </w:pPr>
          </w:p>
        </w:tc>
        <w:tc>
          <w:tcPr>
            <w:tcW w:w="1371" w:type="pct"/>
            <w:vMerge w:val="continue"/>
            <w:noWrap/>
            <w:vAlign w:val="center"/>
          </w:tcPr>
          <w:p>
            <w:pPr>
              <w:widowControl/>
              <w:jc w:val="left"/>
              <w:rPr>
                <w:rFonts w:ascii="宋体" w:hAnsi="宋体" w:cs="宋体"/>
                <w:color w:val="auto"/>
                <w:kern w:val="0"/>
                <w:sz w:val="24"/>
                <w:szCs w:val="24"/>
              </w:rPr>
            </w:pPr>
          </w:p>
        </w:tc>
        <w:tc>
          <w:tcPr>
            <w:tcW w:w="692"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m</w:t>
            </w:r>
          </w:p>
        </w:tc>
        <w:tc>
          <w:tcPr>
            <w:tcW w:w="987"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30＜D≤40 m</w:t>
            </w:r>
          </w:p>
        </w:tc>
        <w:tc>
          <w:tcPr>
            <w:tcW w:w="603"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 xml:space="preserve">60.0 </w:t>
            </w:r>
          </w:p>
        </w:tc>
        <w:tc>
          <w:tcPr>
            <w:tcW w:w="655"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Ⅲ类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trPr>
        <w:tc>
          <w:tcPr>
            <w:tcW w:w="689" w:type="pct"/>
            <w:vMerge w:val="continue"/>
            <w:noWrap/>
            <w:vAlign w:val="center"/>
          </w:tcPr>
          <w:p>
            <w:pPr>
              <w:jc w:val="center"/>
              <w:rPr>
                <w:rFonts w:ascii="宋体" w:hAnsi="宋体" w:cs="宋体"/>
                <w:color w:val="auto"/>
                <w:kern w:val="0"/>
                <w:sz w:val="24"/>
                <w:szCs w:val="24"/>
              </w:rPr>
            </w:pPr>
          </w:p>
        </w:tc>
        <w:tc>
          <w:tcPr>
            <w:tcW w:w="1371" w:type="pct"/>
            <w:vMerge w:val="continue"/>
            <w:noWrap/>
            <w:vAlign w:val="center"/>
          </w:tcPr>
          <w:p>
            <w:pPr>
              <w:widowControl/>
              <w:jc w:val="left"/>
              <w:rPr>
                <w:rFonts w:ascii="宋体" w:hAnsi="宋体" w:cs="宋体"/>
                <w:color w:val="auto"/>
                <w:kern w:val="0"/>
                <w:sz w:val="24"/>
                <w:szCs w:val="24"/>
              </w:rPr>
            </w:pPr>
          </w:p>
        </w:tc>
        <w:tc>
          <w:tcPr>
            <w:tcW w:w="692"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m</w:t>
            </w:r>
          </w:p>
        </w:tc>
        <w:tc>
          <w:tcPr>
            <w:tcW w:w="987"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40＜D≤50 m</w:t>
            </w:r>
          </w:p>
        </w:tc>
        <w:tc>
          <w:tcPr>
            <w:tcW w:w="603"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 xml:space="preserve">550.0 </w:t>
            </w:r>
          </w:p>
        </w:tc>
        <w:tc>
          <w:tcPr>
            <w:tcW w:w="655"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Ⅰ类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trPr>
        <w:tc>
          <w:tcPr>
            <w:tcW w:w="689" w:type="pct"/>
            <w:vMerge w:val="continue"/>
            <w:noWrap/>
            <w:vAlign w:val="center"/>
          </w:tcPr>
          <w:p>
            <w:pPr>
              <w:jc w:val="center"/>
              <w:rPr>
                <w:rFonts w:ascii="宋体" w:hAnsi="宋体" w:cs="宋体"/>
                <w:color w:val="auto"/>
                <w:kern w:val="0"/>
                <w:sz w:val="24"/>
                <w:szCs w:val="24"/>
              </w:rPr>
            </w:pPr>
          </w:p>
        </w:tc>
        <w:tc>
          <w:tcPr>
            <w:tcW w:w="1371" w:type="pct"/>
            <w:vMerge w:val="continue"/>
            <w:noWrap/>
            <w:vAlign w:val="center"/>
          </w:tcPr>
          <w:p>
            <w:pPr>
              <w:widowControl/>
              <w:jc w:val="left"/>
              <w:rPr>
                <w:rFonts w:ascii="宋体" w:hAnsi="宋体" w:cs="宋体"/>
                <w:color w:val="auto"/>
                <w:kern w:val="0"/>
                <w:sz w:val="24"/>
                <w:szCs w:val="24"/>
              </w:rPr>
            </w:pPr>
          </w:p>
        </w:tc>
        <w:tc>
          <w:tcPr>
            <w:tcW w:w="692"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m</w:t>
            </w:r>
          </w:p>
        </w:tc>
        <w:tc>
          <w:tcPr>
            <w:tcW w:w="987"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40＜D≤50 m</w:t>
            </w:r>
          </w:p>
        </w:tc>
        <w:tc>
          <w:tcPr>
            <w:tcW w:w="603"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 xml:space="preserve">70.0 </w:t>
            </w:r>
          </w:p>
        </w:tc>
        <w:tc>
          <w:tcPr>
            <w:tcW w:w="655"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Ⅲ类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trPr>
        <w:tc>
          <w:tcPr>
            <w:tcW w:w="689" w:type="pct"/>
            <w:vMerge w:val="continue"/>
            <w:noWrap/>
            <w:vAlign w:val="center"/>
          </w:tcPr>
          <w:p>
            <w:pPr>
              <w:jc w:val="center"/>
              <w:rPr>
                <w:rFonts w:ascii="宋体" w:hAnsi="宋体" w:cs="宋体"/>
                <w:color w:val="auto"/>
                <w:kern w:val="0"/>
                <w:sz w:val="24"/>
                <w:szCs w:val="24"/>
              </w:rPr>
            </w:pPr>
          </w:p>
        </w:tc>
        <w:tc>
          <w:tcPr>
            <w:tcW w:w="1371" w:type="pct"/>
            <w:vMerge w:val="continue"/>
            <w:noWrap/>
            <w:vAlign w:val="center"/>
          </w:tcPr>
          <w:p>
            <w:pPr>
              <w:widowControl/>
              <w:jc w:val="left"/>
              <w:rPr>
                <w:rFonts w:ascii="宋体" w:hAnsi="宋体" w:cs="宋体"/>
                <w:color w:val="auto"/>
                <w:kern w:val="0"/>
                <w:sz w:val="24"/>
                <w:szCs w:val="24"/>
              </w:rPr>
            </w:pPr>
          </w:p>
        </w:tc>
        <w:tc>
          <w:tcPr>
            <w:tcW w:w="692"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m</w:t>
            </w:r>
          </w:p>
        </w:tc>
        <w:tc>
          <w:tcPr>
            <w:tcW w:w="987"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50＜D≤60 m</w:t>
            </w:r>
          </w:p>
        </w:tc>
        <w:tc>
          <w:tcPr>
            <w:tcW w:w="603"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 xml:space="preserve">300.0 </w:t>
            </w:r>
          </w:p>
        </w:tc>
        <w:tc>
          <w:tcPr>
            <w:tcW w:w="655"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Ⅰ类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trPr>
        <w:tc>
          <w:tcPr>
            <w:tcW w:w="689" w:type="pct"/>
            <w:vMerge w:val="continue"/>
            <w:noWrap/>
            <w:vAlign w:val="center"/>
          </w:tcPr>
          <w:p>
            <w:pPr>
              <w:jc w:val="center"/>
              <w:rPr>
                <w:rFonts w:ascii="宋体" w:hAnsi="宋体" w:cs="宋体"/>
                <w:color w:val="auto"/>
                <w:kern w:val="0"/>
                <w:sz w:val="24"/>
                <w:szCs w:val="24"/>
              </w:rPr>
            </w:pPr>
          </w:p>
        </w:tc>
        <w:tc>
          <w:tcPr>
            <w:tcW w:w="1371" w:type="pct"/>
            <w:vMerge w:val="continue"/>
            <w:noWrap/>
            <w:vAlign w:val="center"/>
          </w:tcPr>
          <w:p>
            <w:pPr>
              <w:widowControl/>
              <w:jc w:val="left"/>
              <w:rPr>
                <w:rFonts w:ascii="宋体" w:hAnsi="宋体" w:cs="宋体"/>
                <w:color w:val="auto"/>
                <w:kern w:val="0"/>
                <w:sz w:val="24"/>
                <w:szCs w:val="24"/>
              </w:rPr>
            </w:pPr>
          </w:p>
        </w:tc>
        <w:tc>
          <w:tcPr>
            <w:tcW w:w="692"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m</w:t>
            </w:r>
          </w:p>
        </w:tc>
        <w:tc>
          <w:tcPr>
            <w:tcW w:w="987"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50＜D≤60 m</w:t>
            </w:r>
          </w:p>
        </w:tc>
        <w:tc>
          <w:tcPr>
            <w:tcW w:w="603"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 xml:space="preserve">50.0 </w:t>
            </w:r>
          </w:p>
        </w:tc>
        <w:tc>
          <w:tcPr>
            <w:tcW w:w="655"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Ⅲ类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trPr>
        <w:tc>
          <w:tcPr>
            <w:tcW w:w="689" w:type="pct"/>
            <w:vMerge w:val="continue"/>
            <w:noWrap/>
            <w:vAlign w:val="center"/>
          </w:tcPr>
          <w:p>
            <w:pPr>
              <w:jc w:val="center"/>
              <w:rPr>
                <w:rFonts w:ascii="宋体" w:hAnsi="宋体" w:cs="宋体"/>
                <w:color w:val="auto"/>
                <w:kern w:val="0"/>
                <w:sz w:val="24"/>
                <w:szCs w:val="24"/>
              </w:rPr>
            </w:pPr>
          </w:p>
        </w:tc>
        <w:tc>
          <w:tcPr>
            <w:tcW w:w="1371" w:type="pct"/>
            <w:vMerge w:val="continue"/>
            <w:noWrap/>
            <w:vAlign w:val="center"/>
          </w:tcPr>
          <w:p>
            <w:pPr>
              <w:widowControl/>
              <w:jc w:val="left"/>
              <w:rPr>
                <w:rFonts w:ascii="宋体" w:hAnsi="宋体" w:cs="宋体"/>
                <w:color w:val="auto"/>
                <w:kern w:val="0"/>
                <w:sz w:val="24"/>
                <w:szCs w:val="24"/>
              </w:rPr>
            </w:pPr>
          </w:p>
        </w:tc>
        <w:tc>
          <w:tcPr>
            <w:tcW w:w="692"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m</w:t>
            </w:r>
          </w:p>
        </w:tc>
        <w:tc>
          <w:tcPr>
            <w:tcW w:w="987"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60＜D≤80 m</w:t>
            </w:r>
          </w:p>
        </w:tc>
        <w:tc>
          <w:tcPr>
            <w:tcW w:w="603"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 xml:space="preserve">700.0 </w:t>
            </w:r>
          </w:p>
        </w:tc>
        <w:tc>
          <w:tcPr>
            <w:tcW w:w="655"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Ⅰ类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trPr>
        <w:tc>
          <w:tcPr>
            <w:tcW w:w="689" w:type="pct"/>
            <w:vMerge w:val="continue"/>
            <w:noWrap/>
            <w:vAlign w:val="center"/>
          </w:tcPr>
          <w:p>
            <w:pPr>
              <w:jc w:val="center"/>
              <w:rPr>
                <w:rFonts w:ascii="宋体" w:hAnsi="宋体" w:cs="宋体"/>
                <w:color w:val="auto"/>
                <w:kern w:val="0"/>
                <w:sz w:val="24"/>
                <w:szCs w:val="24"/>
              </w:rPr>
            </w:pPr>
          </w:p>
        </w:tc>
        <w:tc>
          <w:tcPr>
            <w:tcW w:w="1371" w:type="pct"/>
            <w:vMerge w:val="continue"/>
            <w:noWrap/>
            <w:vAlign w:val="center"/>
          </w:tcPr>
          <w:p>
            <w:pPr>
              <w:widowControl/>
              <w:jc w:val="left"/>
              <w:rPr>
                <w:rFonts w:ascii="宋体" w:hAnsi="宋体" w:cs="宋体"/>
                <w:color w:val="auto"/>
                <w:kern w:val="0"/>
                <w:sz w:val="24"/>
                <w:szCs w:val="24"/>
              </w:rPr>
            </w:pPr>
          </w:p>
        </w:tc>
        <w:tc>
          <w:tcPr>
            <w:tcW w:w="692"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m</w:t>
            </w:r>
          </w:p>
        </w:tc>
        <w:tc>
          <w:tcPr>
            <w:tcW w:w="987"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60＜D≤80 m</w:t>
            </w:r>
          </w:p>
        </w:tc>
        <w:tc>
          <w:tcPr>
            <w:tcW w:w="603"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 xml:space="preserve">0.0 </w:t>
            </w:r>
          </w:p>
        </w:tc>
        <w:tc>
          <w:tcPr>
            <w:tcW w:w="655"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Ⅲ类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trPr>
        <w:tc>
          <w:tcPr>
            <w:tcW w:w="689" w:type="pct"/>
            <w:vMerge w:val="continue"/>
            <w:noWrap/>
            <w:vAlign w:val="center"/>
          </w:tcPr>
          <w:p>
            <w:pPr>
              <w:jc w:val="center"/>
              <w:rPr>
                <w:rFonts w:ascii="宋体" w:hAnsi="宋体" w:cs="宋体"/>
                <w:color w:val="auto"/>
                <w:kern w:val="0"/>
                <w:sz w:val="24"/>
                <w:szCs w:val="24"/>
              </w:rPr>
            </w:pPr>
          </w:p>
        </w:tc>
        <w:tc>
          <w:tcPr>
            <w:tcW w:w="1371" w:type="pct"/>
            <w:vMerge w:val="continue"/>
            <w:noWrap/>
            <w:vAlign w:val="center"/>
          </w:tcPr>
          <w:p>
            <w:pPr>
              <w:widowControl/>
              <w:jc w:val="left"/>
              <w:rPr>
                <w:rFonts w:ascii="宋体" w:hAnsi="宋体" w:cs="宋体"/>
                <w:color w:val="auto"/>
                <w:kern w:val="0"/>
                <w:sz w:val="24"/>
                <w:szCs w:val="24"/>
              </w:rPr>
            </w:pPr>
          </w:p>
        </w:tc>
        <w:tc>
          <w:tcPr>
            <w:tcW w:w="692"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m</w:t>
            </w:r>
          </w:p>
        </w:tc>
        <w:tc>
          <w:tcPr>
            <w:tcW w:w="987"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80＜D≤100 m</w:t>
            </w:r>
          </w:p>
        </w:tc>
        <w:tc>
          <w:tcPr>
            <w:tcW w:w="603"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 xml:space="preserve">340.0 </w:t>
            </w:r>
          </w:p>
        </w:tc>
        <w:tc>
          <w:tcPr>
            <w:tcW w:w="655"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Ⅰ类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trPr>
        <w:tc>
          <w:tcPr>
            <w:tcW w:w="689" w:type="pct"/>
            <w:vMerge w:val="continue"/>
            <w:noWrap/>
            <w:vAlign w:val="center"/>
          </w:tcPr>
          <w:p>
            <w:pPr>
              <w:jc w:val="center"/>
              <w:rPr>
                <w:rFonts w:ascii="宋体" w:hAnsi="宋体" w:cs="宋体"/>
                <w:color w:val="auto"/>
                <w:kern w:val="0"/>
                <w:sz w:val="24"/>
                <w:szCs w:val="24"/>
              </w:rPr>
            </w:pPr>
          </w:p>
        </w:tc>
        <w:tc>
          <w:tcPr>
            <w:tcW w:w="1371" w:type="pct"/>
            <w:vMerge w:val="continue"/>
            <w:noWrap/>
            <w:vAlign w:val="center"/>
          </w:tcPr>
          <w:p>
            <w:pPr>
              <w:widowControl/>
              <w:jc w:val="left"/>
              <w:rPr>
                <w:rFonts w:ascii="宋体" w:hAnsi="宋体" w:cs="宋体"/>
                <w:color w:val="auto"/>
                <w:kern w:val="0"/>
                <w:sz w:val="24"/>
                <w:szCs w:val="24"/>
              </w:rPr>
            </w:pPr>
          </w:p>
        </w:tc>
        <w:tc>
          <w:tcPr>
            <w:tcW w:w="692"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m</w:t>
            </w:r>
          </w:p>
        </w:tc>
        <w:tc>
          <w:tcPr>
            <w:tcW w:w="987"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80＜D≤100 m</w:t>
            </w:r>
          </w:p>
        </w:tc>
        <w:tc>
          <w:tcPr>
            <w:tcW w:w="603"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 xml:space="preserve">0.0 </w:t>
            </w:r>
          </w:p>
        </w:tc>
        <w:tc>
          <w:tcPr>
            <w:tcW w:w="655"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Ⅲ类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trPr>
        <w:tc>
          <w:tcPr>
            <w:tcW w:w="689" w:type="pct"/>
            <w:vMerge w:val="continue"/>
            <w:noWrap/>
            <w:vAlign w:val="center"/>
          </w:tcPr>
          <w:p>
            <w:pPr>
              <w:jc w:val="center"/>
              <w:rPr>
                <w:rFonts w:ascii="宋体" w:hAnsi="宋体" w:cs="宋体"/>
                <w:color w:val="auto"/>
                <w:kern w:val="0"/>
                <w:sz w:val="24"/>
                <w:szCs w:val="24"/>
              </w:rPr>
            </w:pPr>
          </w:p>
        </w:tc>
        <w:tc>
          <w:tcPr>
            <w:tcW w:w="1371" w:type="pct"/>
            <w:vMerge w:val="restar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标准贯入试验</w:t>
            </w:r>
          </w:p>
        </w:tc>
        <w:tc>
          <w:tcPr>
            <w:tcW w:w="692"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次</w:t>
            </w:r>
          </w:p>
        </w:tc>
        <w:tc>
          <w:tcPr>
            <w:tcW w:w="987"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D≤20 m</w:t>
            </w:r>
          </w:p>
        </w:tc>
        <w:tc>
          <w:tcPr>
            <w:tcW w:w="603"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 xml:space="preserve">600 </w:t>
            </w:r>
          </w:p>
        </w:tc>
        <w:tc>
          <w:tcPr>
            <w:tcW w:w="655"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Ⅰ类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trPr>
        <w:tc>
          <w:tcPr>
            <w:tcW w:w="689" w:type="pct"/>
            <w:vMerge w:val="continue"/>
            <w:noWrap/>
            <w:vAlign w:val="center"/>
          </w:tcPr>
          <w:p>
            <w:pPr>
              <w:jc w:val="center"/>
              <w:rPr>
                <w:rFonts w:ascii="宋体" w:hAnsi="宋体" w:cs="宋体"/>
                <w:color w:val="auto"/>
                <w:kern w:val="0"/>
                <w:sz w:val="24"/>
                <w:szCs w:val="24"/>
              </w:rPr>
            </w:pPr>
          </w:p>
        </w:tc>
        <w:tc>
          <w:tcPr>
            <w:tcW w:w="1371" w:type="pct"/>
            <w:vMerge w:val="continue"/>
            <w:noWrap/>
            <w:vAlign w:val="center"/>
          </w:tcPr>
          <w:p>
            <w:pPr>
              <w:widowControl/>
              <w:jc w:val="left"/>
              <w:rPr>
                <w:rFonts w:ascii="宋体" w:hAnsi="宋体" w:cs="宋体"/>
                <w:color w:val="auto"/>
                <w:kern w:val="0"/>
                <w:sz w:val="24"/>
                <w:szCs w:val="24"/>
              </w:rPr>
            </w:pPr>
          </w:p>
        </w:tc>
        <w:tc>
          <w:tcPr>
            <w:tcW w:w="692"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次</w:t>
            </w:r>
          </w:p>
        </w:tc>
        <w:tc>
          <w:tcPr>
            <w:tcW w:w="987"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D≤20 m</w:t>
            </w:r>
          </w:p>
        </w:tc>
        <w:tc>
          <w:tcPr>
            <w:tcW w:w="603"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 xml:space="preserve">100 </w:t>
            </w:r>
          </w:p>
        </w:tc>
        <w:tc>
          <w:tcPr>
            <w:tcW w:w="655"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Ⅲ类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trPr>
        <w:tc>
          <w:tcPr>
            <w:tcW w:w="689" w:type="pct"/>
            <w:vMerge w:val="continue"/>
            <w:noWrap/>
            <w:vAlign w:val="center"/>
          </w:tcPr>
          <w:p>
            <w:pPr>
              <w:jc w:val="center"/>
              <w:rPr>
                <w:rFonts w:ascii="宋体" w:hAnsi="宋体" w:cs="宋体"/>
                <w:color w:val="auto"/>
                <w:kern w:val="0"/>
                <w:sz w:val="24"/>
                <w:szCs w:val="24"/>
              </w:rPr>
            </w:pPr>
          </w:p>
        </w:tc>
        <w:tc>
          <w:tcPr>
            <w:tcW w:w="1371" w:type="pct"/>
            <w:vMerge w:val="continue"/>
            <w:noWrap/>
            <w:vAlign w:val="center"/>
          </w:tcPr>
          <w:p>
            <w:pPr>
              <w:widowControl/>
              <w:jc w:val="left"/>
              <w:rPr>
                <w:rFonts w:ascii="宋体" w:hAnsi="宋体" w:cs="宋体"/>
                <w:color w:val="auto"/>
                <w:kern w:val="0"/>
                <w:sz w:val="24"/>
                <w:szCs w:val="24"/>
              </w:rPr>
            </w:pPr>
          </w:p>
        </w:tc>
        <w:tc>
          <w:tcPr>
            <w:tcW w:w="692"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次</w:t>
            </w:r>
          </w:p>
        </w:tc>
        <w:tc>
          <w:tcPr>
            <w:tcW w:w="987"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20＜D≤50 m</w:t>
            </w:r>
          </w:p>
        </w:tc>
        <w:tc>
          <w:tcPr>
            <w:tcW w:w="603"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 xml:space="preserve">500 </w:t>
            </w:r>
          </w:p>
        </w:tc>
        <w:tc>
          <w:tcPr>
            <w:tcW w:w="655"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Ⅰ类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trPr>
        <w:tc>
          <w:tcPr>
            <w:tcW w:w="689" w:type="pct"/>
            <w:vMerge w:val="continue"/>
            <w:noWrap/>
            <w:vAlign w:val="center"/>
          </w:tcPr>
          <w:p>
            <w:pPr>
              <w:jc w:val="center"/>
              <w:rPr>
                <w:rFonts w:ascii="宋体" w:hAnsi="宋体" w:cs="宋体"/>
                <w:color w:val="auto"/>
                <w:kern w:val="0"/>
                <w:sz w:val="24"/>
                <w:szCs w:val="24"/>
              </w:rPr>
            </w:pPr>
          </w:p>
        </w:tc>
        <w:tc>
          <w:tcPr>
            <w:tcW w:w="1371" w:type="pct"/>
            <w:vMerge w:val="continue"/>
            <w:noWrap/>
            <w:vAlign w:val="center"/>
          </w:tcPr>
          <w:p>
            <w:pPr>
              <w:widowControl/>
              <w:jc w:val="left"/>
              <w:rPr>
                <w:rFonts w:ascii="宋体" w:hAnsi="宋体" w:cs="宋体"/>
                <w:color w:val="auto"/>
                <w:kern w:val="0"/>
                <w:sz w:val="24"/>
                <w:szCs w:val="24"/>
              </w:rPr>
            </w:pPr>
          </w:p>
        </w:tc>
        <w:tc>
          <w:tcPr>
            <w:tcW w:w="692"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次</w:t>
            </w:r>
          </w:p>
        </w:tc>
        <w:tc>
          <w:tcPr>
            <w:tcW w:w="987"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20＜D≤50 m</w:t>
            </w:r>
          </w:p>
        </w:tc>
        <w:tc>
          <w:tcPr>
            <w:tcW w:w="603"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 xml:space="preserve">100 </w:t>
            </w:r>
          </w:p>
        </w:tc>
        <w:tc>
          <w:tcPr>
            <w:tcW w:w="655"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Ⅲ类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trPr>
        <w:tc>
          <w:tcPr>
            <w:tcW w:w="689" w:type="pct"/>
            <w:vMerge w:val="continue"/>
            <w:noWrap/>
            <w:vAlign w:val="center"/>
          </w:tcPr>
          <w:p>
            <w:pPr>
              <w:jc w:val="center"/>
              <w:rPr>
                <w:rFonts w:ascii="宋体" w:hAnsi="宋体" w:cs="宋体"/>
                <w:color w:val="auto"/>
                <w:kern w:val="0"/>
                <w:sz w:val="24"/>
                <w:szCs w:val="24"/>
              </w:rPr>
            </w:pPr>
          </w:p>
        </w:tc>
        <w:tc>
          <w:tcPr>
            <w:tcW w:w="1371" w:type="pct"/>
            <w:vMerge w:val="continue"/>
            <w:noWrap/>
            <w:vAlign w:val="center"/>
          </w:tcPr>
          <w:p>
            <w:pPr>
              <w:widowControl/>
              <w:jc w:val="left"/>
              <w:rPr>
                <w:rFonts w:ascii="宋体" w:hAnsi="宋体" w:cs="宋体"/>
                <w:color w:val="auto"/>
                <w:kern w:val="0"/>
                <w:sz w:val="24"/>
                <w:szCs w:val="24"/>
              </w:rPr>
            </w:pPr>
          </w:p>
        </w:tc>
        <w:tc>
          <w:tcPr>
            <w:tcW w:w="692"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次</w:t>
            </w:r>
          </w:p>
        </w:tc>
        <w:tc>
          <w:tcPr>
            <w:tcW w:w="987"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50＜D</w:t>
            </w:r>
          </w:p>
        </w:tc>
        <w:tc>
          <w:tcPr>
            <w:tcW w:w="603"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 xml:space="preserve">400 </w:t>
            </w:r>
          </w:p>
        </w:tc>
        <w:tc>
          <w:tcPr>
            <w:tcW w:w="655"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Ⅰ类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trPr>
        <w:tc>
          <w:tcPr>
            <w:tcW w:w="689" w:type="pct"/>
            <w:vMerge w:val="continue"/>
            <w:noWrap/>
            <w:vAlign w:val="center"/>
          </w:tcPr>
          <w:p>
            <w:pPr>
              <w:jc w:val="center"/>
              <w:rPr>
                <w:rFonts w:ascii="宋体" w:hAnsi="宋体" w:cs="宋体"/>
                <w:color w:val="auto"/>
                <w:kern w:val="0"/>
                <w:sz w:val="24"/>
                <w:szCs w:val="24"/>
              </w:rPr>
            </w:pPr>
          </w:p>
        </w:tc>
        <w:tc>
          <w:tcPr>
            <w:tcW w:w="1371" w:type="pct"/>
            <w:vMerge w:val="continue"/>
            <w:noWrap/>
            <w:vAlign w:val="center"/>
          </w:tcPr>
          <w:p>
            <w:pPr>
              <w:widowControl/>
              <w:jc w:val="left"/>
              <w:rPr>
                <w:rFonts w:ascii="宋体" w:hAnsi="宋体" w:cs="宋体"/>
                <w:color w:val="auto"/>
                <w:kern w:val="0"/>
                <w:sz w:val="24"/>
                <w:szCs w:val="24"/>
              </w:rPr>
            </w:pPr>
          </w:p>
        </w:tc>
        <w:tc>
          <w:tcPr>
            <w:tcW w:w="692"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次</w:t>
            </w:r>
          </w:p>
        </w:tc>
        <w:tc>
          <w:tcPr>
            <w:tcW w:w="987"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50＜D</w:t>
            </w:r>
          </w:p>
        </w:tc>
        <w:tc>
          <w:tcPr>
            <w:tcW w:w="603"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 xml:space="preserve">50 </w:t>
            </w:r>
          </w:p>
        </w:tc>
        <w:tc>
          <w:tcPr>
            <w:tcW w:w="655"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Ⅲ类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trPr>
        <w:tc>
          <w:tcPr>
            <w:tcW w:w="689" w:type="pct"/>
            <w:vMerge w:val="continue"/>
            <w:noWrap/>
            <w:vAlign w:val="center"/>
          </w:tcPr>
          <w:p>
            <w:pPr>
              <w:widowControl/>
              <w:jc w:val="center"/>
              <w:rPr>
                <w:rFonts w:ascii="宋体" w:hAnsi="宋体" w:cs="宋体"/>
                <w:color w:val="auto"/>
                <w:kern w:val="0"/>
                <w:sz w:val="24"/>
                <w:szCs w:val="24"/>
              </w:rPr>
            </w:pPr>
          </w:p>
        </w:tc>
        <w:tc>
          <w:tcPr>
            <w:tcW w:w="1371" w:type="pct"/>
            <w:vMerge w:val="restar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钻孔波速测试</w:t>
            </w:r>
          </w:p>
        </w:tc>
        <w:tc>
          <w:tcPr>
            <w:tcW w:w="692"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m</w:t>
            </w:r>
          </w:p>
        </w:tc>
        <w:tc>
          <w:tcPr>
            <w:tcW w:w="987"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D≤15 m</w:t>
            </w:r>
          </w:p>
        </w:tc>
        <w:tc>
          <w:tcPr>
            <w:tcW w:w="603"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 xml:space="preserve">150 </w:t>
            </w:r>
          </w:p>
        </w:tc>
        <w:tc>
          <w:tcPr>
            <w:tcW w:w="655" w:type="pct"/>
            <w:vMerge w:val="restart"/>
            <w:noWrap/>
            <w:vAlign w:val="center"/>
          </w:tcPr>
          <w:p>
            <w:pPr>
              <w:widowControl/>
              <w:jc w:val="center"/>
              <w:rPr>
                <w:rFonts w:ascii="宋体" w:hAnsi="宋体" w:cs="宋体"/>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trPr>
        <w:tc>
          <w:tcPr>
            <w:tcW w:w="689" w:type="pct"/>
            <w:vMerge w:val="continue"/>
            <w:noWrap/>
            <w:vAlign w:val="center"/>
          </w:tcPr>
          <w:p>
            <w:pPr>
              <w:widowControl/>
              <w:jc w:val="left"/>
              <w:rPr>
                <w:rFonts w:ascii="宋体" w:hAnsi="宋体" w:cs="宋体"/>
                <w:color w:val="auto"/>
                <w:kern w:val="0"/>
                <w:sz w:val="24"/>
                <w:szCs w:val="24"/>
              </w:rPr>
            </w:pPr>
          </w:p>
        </w:tc>
        <w:tc>
          <w:tcPr>
            <w:tcW w:w="1371" w:type="pct"/>
            <w:vMerge w:val="continue"/>
            <w:noWrap/>
            <w:vAlign w:val="center"/>
          </w:tcPr>
          <w:p>
            <w:pPr>
              <w:widowControl/>
              <w:jc w:val="left"/>
              <w:rPr>
                <w:rFonts w:ascii="宋体" w:hAnsi="宋体" w:cs="宋体"/>
                <w:color w:val="auto"/>
                <w:kern w:val="0"/>
                <w:sz w:val="24"/>
                <w:szCs w:val="24"/>
              </w:rPr>
            </w:pPr>
          </w:p>
        </w:tc>
        <w:tc>
          <w:tcPr>
            <w:tcW w:w="692"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m</w:t>
            </w:r>
          </w:p>
        </w:tc>
        <w:tc>
          <w:tcPr>
            <w:tcW w:w="987"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15＜D≤30 m</w:t>
            </w:r>
          </w:p>
        </w:tc>
        <w:tc>
          <w:tcPr>
            <w:tcW w:w="603"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 xml:space="preserve">90 </w:t>
            </w:r>
          </w:p>
        </w:tc>
        <w:tc>
          <w:tcPr>
            <w:tcW w:w="655" w:type="pct"/>
            <w:vMerge w:val="continue"/>
            <w:noWrap/>
            <w:vAlign w:val="center"/>
          </w:tcPr>
          <w:p>
            <w:pPr>
              <w:widowControl/>
              <w:jc w:val="left"/>
              <w:rPr>
                <w:rFonts w:ascii="宋体" w:hAnsi="宋体" w:cs="宋体"/>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trPr>
        <w:tc>
          <w:tcPr>
            <w:tcW w:w="689" w:type="pct"/>
            <w:vMerge w:val="continue"/>
            <w:noWrap/>
            <w:vAlign w:val="center"/>
          </w:tcPr>
          <w:p>
            <w:pPr>
              <w:widowControl/>
              <w:jc w:val="left"/>
              <w:rPr>
                <w:rFonts w:ascii="宋体" w:hAnsi="宋体" w:cs="宋体"/>
                <w:color w:val="auto"/>
                <w:kern w:val="0"/>
                <w:sz w:val="24"/>
                <w:szCs w:val="24"/>
              </w:rPr>
            </w:pPr>
          </w:p>
        </w:tc>
        <w:tc>
          <w:tcPr>
            <w:tcW w:w="1371" w:type="pct"/>
            <w:vMerge w:val="continue"/>
            <w:noWrap/>
            <w:vAlign w:val="center"/>
          </w:tcPr>
          <w:p>
            <w:pPr>
              <w:widowControl/>
              <w:jc w:val="left"/>
              <w:rPr>
                <w:rFonts w:ascii="宋体" w:hAnsi="宋体" w:cs="宋体"/>
                <w:color w:val="auto"/>
                <w:kern w:val="0"/>
                <w:sz w:val="24"/>
                <w:szCs w:val="24"/>
              </w:rPr>
            </w:pPr>
          </w:p>
        </w:tc>
        <w:tc>
          <w:tcPr>
            <w:tcW w:w="692"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m</w:t>
            </w:r>
          </w:p>
        </w:tc>
        <w:tc>
          <w:tcPr>
            <w:tcW w:w="987"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30＜D≤50 m</w:t>
            </w:r>
          </w:p>
        </w:tc>
        <w:tc>
          <w:tcPr>
            <w:tcW w:w="603"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 xml:space="preserve">80 </w:t>
            </w:r>
          </w:p>
        </w:tc>
        <w:tc>
          <w:tcPr>
            <w:tcW w:w="655" w:type="pct"/>
            <w:vMerge w:val="continue"/>
            <w:noWrap/>
            <w:vAlign w:val="center"/>
          </w:tcPr>
          <w:p>
            <w:pPr>
              <w:widowControl/>
              <w:jc w:val="left"/>
              <w:rPr>
                <w:rFonts w:ascii="宋体" w:hAnsi="宋体" w:cs="宋体"/>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trPr>
        <w:tc>
          <w:tcPr>
            <w:tcW w:w="689" w:type="pct"/>
            <w:vMerge w:val="continue"/>
            <w:noWrap/>
            <w:vAlign w:val="center"/>
          </w:tcPr>
          <w:p>
            <w:pPr>
              <w:widowControl/>
              <w:jc w:val="left"/>
              <w:rPr>
                <w:rFonts w:ascii="宋体" w:hAnsi="宋体" w:cs="宋体"/>
                <w:color w:val="auto"/>
                <w:kern w:val="0"/>
                <w:sz w:val="24"/>
                <w:szCs w:val="24"/>
              </w:rPr>
            </w:pPr>
          </w:p>
        </w:tc>
        <w:tc>
          <w:tcPr>
            <w:tcW w:w="1371" w:type="pct"/>
            <w:vMerge w:val="continue"/>
            <w:noWrap/>
            <w:vAlign w:val="center"/>
          </w:tcPr>
          <w:p>
            <w:pPr>
              <w:widowControl/>
              <w:jc w:val="left"/>
              <w:rPr>
                <w:rFonts w:ascii="宋体" w:hAnsi="宋体" w:cs="宋体"/>
                <w:color w:val="auto"/>
                <w:kern w:val="0"/>
                <w:sz w:val="24"/>
                <w:szCs w:val="24"/>
              </w:rPr>
            </w:pPr>
          </w:p>
        </w:tc>
        <w:tc>
          <w:tcPr>
            <w:tcW w:w="692"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m</w:t>
            </w:r>
          </w:p>
        </w:tc>
        <w:tc>
          <w:tcPr>
            <w:tcW w:w="987"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50＜D≤70m</w:t>
            </w:r>
          </w:p>
        </w:tc>
        <w:tc>
          <w:tcPr>
            <w:tcW w:w="603"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 xml:space="preserve">80 </w:t>
            </w:r>
          </w:p>
        </w:tc>
        <w:tc>
          <w:tcPr>
            <w:tcW w:w="655" w:type="pct"/>
            <w:vMerge w:val="continue"/>
            <w:noWrap/>
            <w:vAlign w:val="center"/>
          </w:tcPr>
          <w:p>
            <w:pPr>
              <w:widowControl/>
              <w:jc w:val="left"/>
              <w:rPr>
                <w:rFonts w:ascii="宋体" w:hAnsi="宋体" w:cs="宋体"/>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trPr>
        <w:tc>
          <w:tcPr>
            <w:tcW w:w="689" w:type="pct"/>
            <w:vMerge w:val="continue"/>
            <w:noWrap/>
            <w:vAlign w:val="center"/>
          </w:tcPr>
          <w:p>
            <w:pPr>
              <w:widowControl/>
              <w:jc w:val="left"/>
              <w:rPr>
                <w:rFonts w:ascii="宋体" w:hAnsi="宋体" w:cs="宋体"/>
                <w:color w:val="auto"/>
                <w:kern w:val="0"/>
                <w:sz w:val="24"/>
                <w:szCs w:val="24"/>
              </w:rPr>
            </w:pPr>
          </w:p>
        </w:tc>
        <w:tc>
          <w:tcPr>
            <w:tcW w:w="1371" w:type="pct"/>
            <w:vMerge w:val="continue"/>
            <w:noWrap/>
            <w:vAlign w:val="center"/>
          </w:tcPr>
          <w:p>
            <w:pPr>
              <w:widowControl/>
              <w:jc w:val="left"/>
              <w:rPr>
                <w:rFonts w:ascii="宋体" w:hAnsi="宋体" w:cs="宋体"/>
                <w:color w:val="auto"/>
                <w:kern w:val="0"/>
                <w:sz w:val="24"/>
                <w:szCs w:val="24"/>
              </w:rPr>
            </w:pPr>
          </w:p>
        </w:tc>
        <w:tc>
          <w:tcPr>
            <w:tcW w:w="692"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m</w:t>
            </w:r>
          </w:p>
        </w:tc>
        <w:tc>
          <w:tcPr>
            <w:tcW w:w="987"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70＜D≤90m</w:t>
            </w:r>
          </w:p>
        </w:tc>
        <w:tc>
          <w:tcPr>
            <w:tcW w:w="603"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 xml:space="preserve">80 </w:t>
            </w:r>
          </w:p>
        </w:tc>
        <w:tc>
          <w:tcPr>
            <w:tcW w:w="655" w:type="pct"/>
            <w:vMerge w:val="continue"/>
            <w:noWrap/>
            <w:vAlign w:val="center"/>
          </w:tcPr>
          <w:p>
            <w:pPr>
              <w:widowControl/>
              <w:jc w:val="left"/>
              <w:rPr>
                <w:rFonts w:ascii="宋体" w:hAnsi="宋体" w:cs="宋体"/>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trPr>
        <w:tc>
          <w:tcPr>
            <w:tcW w:w="689" w:type="pct"/>
            <w:vMerge w:val="continue"/>
            <w:noWrap/>
            <w:vAlign w:val="center"/>
          </w:tcPr>
          <w:p>
            <w:pPr>
              <w:widowControl/>
              <w:jc w:val="left"/>
              <w:rPr>
                <w:rFonts w:ascii="宋体" w:hAnsi="宋体" w:cs="宋体"/>
                <w:color w:val="auto"/>
                <w:kern w:val="0"/>
                <w:sz w:val="24"/>
                <w:szCs w:val="24"/>
              </w:rPr>
            </w:pPr>
          </w:p>
        </w:tc>
        <w:tc>
          <w:tcPr>
            <w:tcW w:w="1371" w:type="pct"/>
            <w:vMerge w:val="continue"/>
            <w:noWrap/>
            <w:vAlign w:val="center"/>
          </w:tcPr>
          <w:p>
            <w:pPr>
              <w:widowControl/>
              <w:jc w:val="left"/>
              <w:rPr>
                <w:rFonts w:ascii="宋体" w:hAnsi="宋体" w:cs="宋体"/>
                <w:color w:val="auto"/>
                <w:kern w:val="0"/>
                <w:sz w:val="24"/>
                <w:szCs w:val="24"/>
              </w:rPr>
            </w:pPr>
          </w:p>
        </w:tc>
        <w:tc>
          <w:tcPr>
            <w:tcW w:w="692"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m</w:t>
            </w:r>
          </w:p>
        </w:tc>
        <w:tc>
          <w:tcPr>
            <w:tcW w:w="987"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90＜D≤110m</w:t>
            </w:r>
          </w:p>
        </w:tc>
        <w:tc>
          <w:tcPr>
            <w:tcW w:w="603" w:type="pct"/>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 xml:space="preserve">40 </w:t>
            </w:r>
          </w:p>
        </w:tc>
        <w:tc>
          <w:tcPr>
            <w:tcW w:w="655" w:type="pct"/>
            <w:vMerge w:val="continue"/>
            <w:noWrap/>
            <w:vAlign w:val="center"/>
          </w:tcPr>
          <w:p>
            <w:pPr>
              <w:widowControl/>
              <w:jc w:val="left"/>
              <w:rPr>
                <w:rFonts w:ascii="宋体" w:hAnsi="宋体" w:cs="宋体"/>
                <w:color w:val="auto"/>
                <w:kern w:val="0"/>
                <w:sz w:val="24"/>
                <w:szCs w:val="24"/>
              </w:rPr>
            </w:pPr>
          </w:p>
        </w:tc>
      </w:tr>
    </w:tbl>
    <w:p>
      <w:pPr>
        <w:spacing w:line="398" w:lineRule="exact"/>
        <w:rPr>
          <w:rFonts w:ascii="宋体" w:hAnsi="宋体" w:cs="宋体"/>
          <w:b/>
          <w:color w:val="auto"/>
          <w:sz w:val="24"/>
          <w:szCs w:val="24"/>
        </w:rPr>
      </w:pPr>
      <w:r>
        <w:rPr>
          <w:rFonts w:hint="eastAsia" w:ascii="宋体" w:hAnsi="宋体" w:cs="宋体"/>
          <w:b/>
          <w:color w:val="auto"/>
          <w:sz w:val="24"/>
          <w:szCs w:val="24"/>
        </w:rPr>
        <w:t>五、勘察工作具体要求</w:t>
      </w:r>
    </w:p>
    <w:p>
      <w:pPr>
        <w:spacing w:line="398" w:lineRule="exact"/>
        <w:rPr>
          <w:rFonts w:ascii="宋体" w:hAnsi="宋体" w:cs="宋体"/>
          <w:color w:val="auto"/>
          <w:sz w:val="24"/>
          <w:szCs w:val="24"/>
        </w:rPr>
      </w:pPr>
      <w:r>
        <w:rPr>
          <w:rFonts w:hint="eastAsia" w:ascii="宋体" w:hAnsi="宋体" w:cs="宋体"/>
          <w:color w:val="auto"/>
          <w:sz w:val="24"/>
          <w:szCs w:val="24"/>
        </w:rPr>
        <w:t>5.1 勘察前期踏勘准备工作</w:t>
      </w:r>
    </w:p>
    <w:p>
      <w:pPr>
        <w:spacing w:line="398" w:lineRule="exact"/>
        <w:rPr>
          <w:rFonts w:ascii="宋体" w:hAnsi="宋体" w:cs="宋体"/>
          <w:color w:val="auto"/>
          <w:sz w:val="24"/>
          <w:szCs w:val="24"/>
        </w:rPr>
      </w:pPr>
      <w:r>
        <w:rPr>
          <w:rFonts w:hint="eastAsia" w:ascii="宋体" w:hAnsi="宋体" w:cs="宋体"/>
          <w:color w:val="auto"/>
          <w:sz w:val="24"/>
          <w:szCs w:val="24"/>
        </w:rPr>
        <w:t>（1）加强与业主等各方人员沟通，全面研究、深入分析、详尽理解本工程的特点、重点和难点；</w:t>
      </w:r>
    </w:p>
    <w:p>
      <w:pPr>
        <w:spacing w:line="398" w:lineRule="exact"/>
        <w:rPr>
          <w:rFonts w:ascii="宋体" w:hAnsi="宋体" w:cs="宋体"/>
          <w:color w:val="auto"/>
          <w:sz w:val="24"/>
          <w:szCs w:val="24"/>
        </w:rPr>
      </w:pPr>
      <w:r>
        <w:rPr>
          <w:rFonts w:hint="eastAsia" w:ascii="宋体" w:hAnsi="宋体" w:cs="宋体"/>
          <w:color w:val="auto"/>
          <w:sz w:val="24"/>
          <w:szCs w:val="24"/>
        </w:rPr>
        <w:t>（2）详细搜集并认真查阅勘察区交通地理、气象水文、地形地貌、环境、地形图、地质图及已有勘察报告及类同工程经验等资料；</w:t>
      </w:r>
    </w:p>
    <w:p>
      <w:pPr>
        <w:spacing w:line="398" w:lineRule="exact"/>
        <w:rPr>
          <w:rFonts w:ascii="宋体" w:hAnsi="宋体" w:cs="宋体"/>
          <w:color w:val="auto"/>
          <w:sz w:val="24"/>
          <w:szCs w:val="24"/>
        </w:rPr>
      </w:pPr>
      <w:r>
        <w:rPr>
          <w:rFonts w:hint="eastAsia" w:ascii="宋体" w:hAnsi="宋体" w:cs="宋体"/>
          <w:color w:val="auto"/>
          <w:sz w:val="24"/>
          <w:szCs w:val="24"/>
        </w:rPr>
        <w:t>（3）根据确定的设计方案进行现场踏勘和资料收集工作；</w:t>
      </w:r>
    </w:p>
    <w:p>
      <w:pPr>
        <w:spacing w:line="398" w:lineRule="exact"/>
        <w:rPr>
          <w:rFonts w:ascii="宋体" w:hAnsi="宋体" w:cs="宋体"/>
          <w:color w:val="auto"/>
          <w:sz w:val="24"/>
          <w:szCs w:val="24"/>
        </w:rPr>
      </w:pPr>
      <w:r>
        <w:rPr>
          <w:rFonts w:hint="eastAsia" w:ascii="宋体" w:hAnsi="宋体" w:cs="宋体"/>
          <w:color w:val="auto"/>
          <w:sz w:val="24"/>
          <w:szCs w:val="24"/>
        </w:rPr>
        <w:t>（4）重点了解沿线的地质、水文、交通、环境和地下管线情况，高度重视地下管线调查；</w:t>
      </w:r>
    </w:p>
    <w:p>
      <w:pPr>
        <w:spacing w:line="398" w:lineRule="exact"/>
        <w:rPr>
          <w:rFonts w:ascii="宋体" w:hAnsi="宋体" w:cs="宋体"/>
          <w:color w:val="auto"/>
          <w:sz w:val="24"/>
          <w:szCs w:val="24"/>
        </w:rPr>
      </w:pPr>
      <w:r>
        <w:rPr>
          <w:rFonts w:hint="eastAsia" w:ascii="宋体" w:hAnsi="宋体" w:cs="宋体"/>
          <w:color w:val="auto"/>
          <w:sz w:val="24"/>
          <w:szCs w:val="24"/>
        </w:rPr>
        <w:t>（5）对重要管线分布段，除收集资料及进行现场初步复核外，提前验证物探工作内容及范围，评价对设计施工的影响。</w:t>
      </w:r>
    </w:p>
    <w:p>
      <w:pPr>
        <w:spacing w:line="398" w:lineRule="exact"/>
        <w:rPr>
          <w:rFonts w:ascii="宋体" w:hAnsi="宋体" w:cs="宋体"/>
          <w:color w:val="auto"/>
          <w:sz w:val="24"/>
          <w:szCs w:val="24"/>
        </w:rPr>
      </w:pPr>
      <w:r>
        <w:rPr>
          <w:rFonts w:hint="eastAsia" w:ascii="宋体" w:hAnsi="宋体" w:cs="宋体"/>
          <w:color w:val="auto"/>
          <w:sz w:val="24"/>
          <w:szCs w:val="24"/>
        </w:rPr>
        <w:t>5.2勘察过程控制</w:t>
      </w:r>
    </w:p>
    <w:p>
      <w:pPr>
        <w:spacing w:line="398" w:lineRule="exact"/>
        <w:rPr>
          <w:rFonts w:ascii="宋体" w:hAnsi="宋体" w:cs="宋体"/>
          <w:color w:val="auto"/>
          <w:sz w:val="24"/>
          <w:szCs w:val="24"/>
        </w:rPr>
      </w:pPr>
      <w:r>
        <w:rPr>
          <w:rFonts w:hint="eastAsia" w:ascii="宋体" w:hAnsi="宋体" w:cs="宋体"/>
          <w:color w:val="auto"/>
          <w:sz w:val="24"/>
          <w:szCs w:val="24"/>
        </w:rPr>
        <w:t>（1）勘察过程中，因地制宜进行勘察工作，根据工程的岩土条件（或工作现场地形、地貌、地质和水文地质条件）及技术规范要求，调整工作内容，并及时与发包人沟通；</w:t>
      </w:r>
    </w:p>
    <w:p>
      <w:pPr>
        <w:spacing w:line="398" w:lineRule="exact"/>
        <w:rPr>
          <w:rFonts w:ascii="宋体" w:hAnsi="宋体" w:cs="宋体"/>
          <w:color w:val="auto"/>
          <w:sz w:val="24"/>
          <w:szCs w:val="24"/>
        </w:rPr>
      </w:pPr>
      <w:r>
        <w:rPr>
          <w:rFonts w:hint="eastAsia" w:ascii="宋体" w:hAnsi="宋体" w:cs="宋体"/>
          <w:color w:val="auto"/>
          <w:sz w:val="24"/>
          <w:szCs w:val="24"/>
        </w:rPr>
        <w:t>（2）勘察中积极与设计沟通，明确不同阶段的勘察任务和勘察重点；</w:t>
      </w:r>
    </w:p>
    <w:p>
      <w:pPr>
        <w:spacing w:line="398" w:lineRule="exact"/>
        <w:rPr>
          <w:rFonts w:ascii="宋体" w:hAnsi="宋体" w:cs="宋体"/>
          <w:color w:val="auto"/>
          <w:sz w:val="24"/>
          <w:szCs w:val="24"/>
        </w:rPr>
      </w:pPr>
      <w:r>
        <w:rPr>
          <w:rFonts w:hint="eastAsia" w:ascii="宋体" w:hAnsi="宋体" w:cs="宋体"/>
          <w:color w:val="auto"/>
          <w:sz w:val="24"/>
          <w:szCs w:val="24"/>
        </w:rPr>
        <w:t>（3）针对沿线软土发育、岩土层种类多的特点选择合适勘察手段，对关键节点有针对性勘察措施，勘察报告编写有针对性；</w:t>
      </w:r>
    </w:p>
    <w:p>
      <w:pPr>
        <w:spacing w:line="398" w:lineRule="exact"/>
        <w:rPr>
          <w:rFonts w:ascii="宋体" w:hAnsi="宋体" w:cs="宋体"/>
          <w:color w:val="auto"/>
          <w:sz w:val="24"/>
          <w:szCs w:val="24"/>
        </w:rPr>
      </w:pPr>
      <w:r>
        <w:rPr>
          <w:rFonts w:hint="eastAsia" w:ascii="宋体" w:hAnsi="宋体" w:cs="宋体"/>
          <w:color w:val="auto"/>
          <w:sz w:val="24"/>
          <w:szCs w:val="24"/>
        </w:rPr>
        <w:t>（4）如勘察过程中发现地质条件变化及设计方案变更，及时调整勘察方案并与业主进行沟通，如涉及工作量调整应重新编制补充勘察方案报批准后实施。</w:t>
      </w:r>
    </w:p>
    <w:p>
      <w:pPr>
        <w:spacing w:line="398" w:lineRule="exact"/>
        <w:rPr>
          <w:rFonts w:ascii="宋体" w:hAnsi="宋体" w:cs="宋体"/>
          <w:color w:val="auto"/>
          <w:sz w:val="24"/>
          <w:szCs w:val="24"/>
        </w:rPr>
      </w:pPr>
      <w:r>
        <w:rPr>
          <w:rFonts w:hint="eastAsia" w:ascii="宋体" w:hAnsi="宋体" w:cs="宋体"/>
          <w:color w:val="auto"/>
          <w:sz w:val="24"/>
          <w:szCs w:val="24"/>
        </w:rPr>
        <w:t>5.3勘察质量控制</w:t>
      </w:r>
    </w:p>
    <w:p>
      <w:pPr>
        <w:spacing w:line="398" w:lineRule="exact"/>
        <w:rPr>
          <w:rFonts w:ascii="宋体" w:hAnsi="宋体" w:cs="宋体"/>
          <w:color w:val="auto"/>
          <w:sz w:val="24"/>
          <w:szCs w:val="24"/>
        </w:rPr>
      </w:pPr>
      <w:r>
        <w:rPr>
          <w:rFonts w:hint="eastAsia" w:ascii="宋体" w:hAnsi="宋体" w:cs="宋体"/>
          <w:color w:val="auto"/>
          <w:sz w:val="24"/>
          <w:szCs w:val="24"/>
        </w:rPr>
        <w:t>（1）对出具的勘察成果资料质量负责，按住建部《建筑工程第五方责任主体项目负责人质量终身责任追究暂行办法》要求，各单位及勘察项目负责人对项目质量终身负责。</w:t>
      </w:r>
    </w:p>
    <w:p>
      <w:pPr>
        <w:spacing w:line="398" w:lineRule="exact"/>
        <w:rPr>
          <w:rFonts w:ascii="宋体" w:hAnsi="宋体" w:cs="宋体"/>
          <w:color w:val="auto"/>
          <w:sz w:val="24"/>
          <w:szCs w:val="24"/>
        </w:rPr>
      </w:pPr>
      <w:r>
        <w:rPr>
          <w:rFonts w:hint="eastAsia" w:ascii="宋体" w:hAnsi="宋体" w:cs="宋体"/>
          <w:color w:val="auto"/>
          <w:sz w:val="24"/>
          <w:szCs w:val="24"/>
        </w:rPr>
        <w:t>（2）建立完善的质量控制体系、质量控制流量，将质量目标落实到个人，控制整个勘察过程的质量控制点和具体质量活动，做到事前指导、进程控制、成果审查的思路，围绕实现该项目的目标开展勘察工作。</w:t>
      </w:r>
    </w:p>
    <w:p>
      <w:pPr>
        <w:spacing w:line="398" w:lineRule="exact"/>
        <w:rPr>
          <w:rFonts w:ascii="宋体" w:hAnsi="宋体" w:cs="宋体"/>
          <w:color w:val="auto"/>
          <w:sz w:val="24"/>
          <w:szCs w:val="24"/>
        </w:rPr>
      </w:pPr>
      <w:r>
        <w:rPr>
          <w:rFonts w:hint="eastAsia" w:ascii="宋体" w:hAnsi="宋体" w:cs="宋体"/>
          <w:color w:val="auto"/>
          <w:sz w:val="24"/>
          <w:szCs w:val="24"/>
        </w:rPr>
        <w:t>（3）勘察工作的策划、现场编录、取样与测试、室内试验数据分析与成果资料编写等方面做好质量控制关键点工作。</w:t>
      </w:r>
    </w:p>
    <w:p>
      <w:pPr>
        <w:spacing w:line="398" w:lineRule="exact"/>
        <w:rPr>
          <w:rFonts w:ascii="宋体" w:hAnsi="宋体" w:cs="宋体"/>
          <w:color w:val="auto"/>
          <w:sz w:val="24"/>
          <w:szCs w:val="24"/>
        </w:rPr>
      </w:pPr>
      <w:r>
        <w:rPr>
          <w:rFonts w:hint="eastAsia" w:ascii="宋体" w:hAnsi="宋体" w:cs="宋体"/>
          <w:color w:val="auto"/>
          <w:sz w:val="24"/>
          <w:szCs w:val="24"/>
        </w:rPr>
        <w:t>5.4保持与设计良好沟通</w:t>
      </w:r>
    </w:p>
    <w:p>
      <w:pPr>
        <w:spacing w:line="398" w:lineRule="exact"/>
        <w:rPr>
          <w:rFonts w:ascii="宋体" w:hAnsi="宋体" w:cs="宋体"/>
          <w:color w:val="auto"/>
          <w:sz w:val="24"/>
          <w:szCs w:val="24"/>
        </w:rPr>
      </w:pPr>
      <w:r>
        <w:rPr>
          <w:rFonts w:hint="eastAsia" w:ascii="宋体" w:hAnsi="宋体" w:cs="宋体"/>
          <w:color w:val="auto"/>
          <w:sz w:val="24"/>
          <w:szCs w:val="24"/>
        </w:rPr>
        <w:t>（1）根据设计要求优化勘察方案以满足设计要求。</w:t>
      </w:r>
    </w:p>
    <w:p>
      <w:pPr>
        <w:spacing w:line="398" w:lineRule="exact"/>
        <w:rPr>
          <w:rFonts w:ascii="宋体" w:hAnsi="宋体" w:cs="宋体"/>
          <w:color w:val="auto"/>
          <w:sz w:val="24"/>
          <w:szCs w:val="24"/>
        </w:rPr>
      </w:pPr>
      <w:r>
        <w:rPr>
          <w:rFonts w:hint="eastAsia" w:ascii="宋体" w:hAnsi="宋体" w:cs="宋体"/>
          <w:color w:val="auto"/>
          <w:sz w:val="24"/>
          <w:szCs w:val="24"/>
        </w:rPr>
        <w:t>（2）如果设计变化，及时调整勘察方案以满足设计要求；</w:t>
      </w:r>
    </w:p>
    <w:p>
      <w:pPr>
        <w:spacing w:line="398" w:lineRule="exact"/>
        <w:rPr>
          <w:rFonts w:ascii="宋体" w:hAnsi="宋体" w:cs="宋体"/>
          <w:color w:val="auto"/>
          <w:sz w:val="24"/>
          <w:szCs w:val="24"/>
        </w:rPr>
      </w:pPr>
      <w:r>
        <w:rPr>
          <w:rFonts w:hint="eastAsia" w:ascii="宋体" w:hAnsi="宋体" w:cs="宋体"/>
          <w:color w:val="auto"/>
          <w:sz w:val="24"/>
          <w:szCs w:val="24"/>
        </w:rPr>
        <w:t>（3）地质条件变化及时与设计人员沟通，采用相应措施以满足工程及设计需求；</w:t>
      </w:r>
    </w:p>
    <w:p>
      <w:pPr>
        <w:spacing w:line="398" w:lineRule="exact"/>
        <w:rPr>
          <w:rFonts w:ascii="宋体" w:hAnsi="宋体" w:cs="宋体"/>
          <w:color w:val="auto"/>
          <w:sz w:val="24"/>
          <w:szCs w:val="24"/>
        </w:rPr>
      </w:pPr>
      <w:r>
        <w:rPr>
          <w:rFonts w:hint="eastAsia" w:ascii="宋体" w:hAnsi="宋体" w:cs="宋体"/>
          <w:color w:val="auto"/>
          <w:sz w:val="24"/>
          <w:szCs w:val="24"/>
        </w:rPr>
        <w:t>（4）资料随时分批提供以满足工期要求，及时提供其所需工点的资料，便于设计工作顺利开展。</w:t>
      </w:r>
    </w:p>
    <w:p>
      <w:pPr>
        <w:spacing w:line="398" w:lineRule="exact"/>
        <w:rPr>
          <w:rFonts w:ascii="宋体" w:hAnsi="宋体" w:cs="宋体"/>
          <w:color w:val="auto"/>
          <w:sz w:val="24"/>
          <w:szCs w:val="24"/>
        </w:rPr>
      </w:pPr>
      <w:r>
        <w:rPr>
          <w:rFonts w:hint="eastAsia" w:ascii="宋体" w:hAnsi="宋体" w:cs="宋体"/>
          <w:color w:val="auto"/>
          <w:sz w:val="24"/>
          <w:szCs w:val="24"/>
        </w:rPr>
        <w:t>（5）对设计单位进行技术交底，系统、全面地介绍工程地形、地质条件、水文地质条件，建议不同工况下指标的选用，分析施工过程中可能出现的岩土工程问题、应注意的事项并提出合理化建议。</w:t>
      </w:r>
    </w:p>
    <w:p>
      <w:pPr>
        <w:spacing w:line="398" w:lineRule="exact"/>
        <w:rPr>
          <w:rFonts w:ascii="宋体" w:hAnsi="宋体" w:cs="宋体"/>
          <w:color w:val="auto"/>
          <w:sz w:val="24"/>
          <w:szCs w:val="24"/>
        </w:rPr>
      </w:pPr>
      <w:r>
        <w:rPr>
          <w:rFonts w:hint="eastAsia" w:ascii="宋体" w:hAnsi="宋体" w:cs="宋体"/>
          <w:color w:val="auto"/>
          <w:sz w:val="24"/>
          <w:szCs w:val="24"/>
        </w:rPr>
        <w:t>5.5做好施工配合工作</w:t>
      </w:r>
    </w:p>
    <w:p>
      <w:pPr>
        <w:spacing w:line="398" w:lineRule="exact"/>
        <w:rPr>
          <w:rFonts w:ascii="宋体" w:hAnsi="宋体" w:cs="宋体"/>
          <w:color w:val="auto"/>
          <w:sz w:val="24"/>
          <w:szCs w:val="24"/>
        </w:rPr>
      </w:pPr>
      <w:r>
        <w:rPr>
          <w:rFonts w:hint="eastAsia" w:ascii="宋体" w:hAnsi="宋体" w:cs="宋体"/>
          <w:color w:val="auto"/>
          <w:sz w:val="24"/>
          <w:szCs w:val="24"/>
        </w:rPr>
        <w:t>（1）项目开工前，对施工单位进行技术交底，系统、全面地介绍地形、工程地质条件、水文地质条件，分析施工过程中可能出现的岩土工程问题、应注意的事项并提出合理化建议。</w:t>
      </w:r>
    </w:p>
    <w:p>
      <w:pPr>
        <w:spacing w:line="398" w:lineRule="exact"/>
        <w:rPr>
          <w:rFonts w:ascii="宋体" w:hAnsi="宋体" w:cs="宋体"/>
          <w:color w:val="auto"/>
          <w:sz w:val="24"/>
          <w:szCs w:val="24"/>
        </w:rPr>
      </w:pPr>
      <w:r>
        <w:rPr>
          <w:rFonts w:hint="eastAsia" w:ascii="宋体" w:hAnsi="宋体" w:cs="宋体"/>
          <w:color w:val="auto"/>
          <w:sz w:val="24"/>
          <w:szCs w:val="24"/>
        </w:rPr>
        <w:t>（2）对施工过程中出现的地基、地质等异常情况及时现场核实，确认地质情况，对相关问题提供技术支持和合理化建议，保障施工的安全与质量。</w:t>
      </w:r>
    </w:p>
    <w:p>
      <w:pPr>
        <w:spacing w:line="398" w:lineRule="exact"/>
        <w:rPr>
          <w:rFonts w:ascii="宋体" w:hAnsi="宋体" w:cs="宋体"/>
          <w:color w:val="auto"/>
          <w:sz w:val="24"/>
          <w:szCs w:val="24"/>
        </w:rPr>
      </w:pPr>
      <w:r>
        <w:rPr>
          <w:rFonts w:hint="eastAsia" w:ascii="宋体" w:hAnsi="宋体" w:cs="宋体"/>
          <w:color w:val="auto"/>
          <w:sz w:val="24"/>
          <w:szCs w:val="24"/>
        </w:rPr>
        <w:t>5.6参加关键工序验收，做好后续服务工作</w:t>
      </w:r>
    </w:p>
    <w:p>
      <w:pPr>
        <w:spacing w:line="398" w:lineRule="exact"/>
        <w:rPr>
          <w:rFonts w:ascii="宋体" w:hAnsi="宋体" w:cs="宋体"/>
          <w:color w:val="auto"/>
          <w:sz w:val="24"/>
          <w:szCs w:val="24"/>
        </w:rPr>
      </w:pPr>
      <w:r>
        <w:rPr>
          <w:rFonts w:hint="eastAsia" w:ascii="宋体" w:hAnsi="宋体" w:cs="宋体"/>
          <w:color w:val="auto"/>
          <w:sz w:val="24"/>
          <w:szCs w:val="24"/>
        </w:rPr>
        <w:t>（1）及时参加关键工序的验收工作，根据工程进展，积极参与基槽验收、基桩验收等等各类工作；</w:t>
      </w:r>
    </w:p>
    <w:p>
      <w:pPr>
        <w:spacing w:line="398" w:lineRule="exact"/>
        <w:rPr>
          <w:rFonts w:ascii="宋体" w:hAnsi="宋体" w:cs="宋体"/>
          <w:color w:val="auto"/>
          <w:sz w:val="24"/>
          <w:szCs w:val="24"/>
        </w:rPr>
      </w:pPr>
      <w:r>
        <w:rPr>
          <w:rFonts w:hint="eastAsia" w:ascii="宋体" w:hAnsi="宋体" w:cs="宋体"/>
          <w:color w:val="auto"/>
          <w:sz w:val="24"/>
          <w:szCs w:val="24"/>
        </w:rPr>
        <w:t>（2）按规定介入工程质量的控制和监督工作。</w:t>
      </w:r>
    </w:p>
    <w:p>
      <w:pPr>
        <w:spacing w:line="398" w:lineRule="exact"/>
        <w:rPr>
          <w:rFonts w:ascii="宋体" w:hAnsi="宋体" w:cs="宋体"/>
          <w:color w:val="auto"/>
        </w:rPr>
      </w:pPr>
      <w:r>
        <w:rPr>
          <w:rFonts w:hint="eastAsia" w:ascii="宋体" w:hAnsi="宋体" w:cs="宋体"/>
          <w:color w:val="auto"/>
          <w:sz w:val="24"/>
          <w:szCs w:val="24"/>
        </w:rPr>
        <w:t>（3）在勘察工作结束后，主动征求建设单位、设计单位及施工单位对岩土工程勘察的意见，进行勘察质量、服务的回访工作，不断改进与提高勘察工作质量。</w:t>
      </w:r>
    </w:p>
    <w:p>
      <w:pPr>
        <w:autoSpaceDE w:val="0"/>
        <w:autoSpaceDN w:val="0"/>
        <w:adjustRightInd w:val="0"/>
        <w:spacing w:line="360" w:lineRule="auto"/>
        <w:ind w:right="240"/>
        <w:rPr>
          <w:rFonts w:ascii="Times New Roman" w:hAnsi="Times New Roman" w:cs="Times New Roman"/>
          <w:color w:val="auto"/>
          <w:sz w:val="24"/>
          <w:szCs w:val="24"/>
        </w:rPr>
      </w:pPr>
    </w:p>
    <w:p>
      <w:pPr>
        <w:autoSpaceDE w:val="0"/>
        <w:autoSpaceDN w:val="0"/>
        <w:adjustRightInd w:val="0"/>
        <w:jc w:val="center"/>
        <w:rPr>
          <w:rFonts w:cs="Times New Roman"/>
          <w:color w:val="auto"/>
        </w:rPr>
      </w:pPr>
      <w:r>
        <w:rPr>
          <w:rFonts w:ascii="Times New Roman" w:hAnsi="Times New Roman" w:cs="Times New Roman"/>
          <w:color w:val="auto"/>
          <w:kern w:val="0"/>
          <w:sz w:val="24"/>
          <w:szCs w:val="24"/>
        </w:rPr>
        <w:br w:type="page"/>
      </w:r>
    </w:p>
    <w:p>
      <w:pPr>
        <w:pStyle w:val="50"/>
        <w:jc w:val="center"/>
        <w:rPr>
          <w:rFonts w:cs="Times New Roman"/>
          <w:color w:val="auto"/>
        </w:rPr>
      </w:pPr>
    </w:p>
    <w:p>
      <w:pPr>
        <w:pStyle w:val="50"/>
        <w:jc w:val="center"/>
        <w:rPr>
          <w:rFonts w:cs="Times New Roman"/>
          <w:color w:val="auto"/>
        </w:rPr>
      </w:pPr>
    </w:p>
    <w:p>
      <w:pPr>
        <w:autoSpaceDE w:val="0"/>
        <w:autoSpaceDN w:val="0"/>
        <w:snapToGrid w:val="0"/>
        <w:jc w:val="center"/>
        <w:rPr>
          <w:rFonts w:cs="Times New Roman"/>
          <w:color w:val="auto"/>
          <w:sz w:val="24"/>
          <w:szCs w:val="24"/>
        </w:rPr>
      </w:pPr>
    </w:p>
    <w:p>
      <w:pPr>
        <w:autoSpaceDE w:val="0"/>
        <w:autoSpaceDN w:val="0"/>
        <w:snapToGrid w:val="0"/>
        <w:jc w:val="center"/>
        <w:rPr>
          <w:color w:val="auto"/>
          <w:sz w:val="24"/>
          <w:szCs w:val="24"/>
        </w:rPr>
      </w:pPr>
    </w:p>
    <w:p>
      <w:pPr>
        <w:autoSpaceDE w:val="0"/>
        <w:autoSpaceDN w:val="0"/>
        <w:snapToGrid w:val="0"/>
        <w:jc w:val="center"/>
        <w:rPr>
          <w:color w:val="auto"/>
          <w:sz w:val="24"/>
          <w:szCs w:val="24"/>
        </w:rPr>
      </w:pPr>
    </w:p>
    <w:p>
      <w:pPr>
        <w:autoSpaceDE w:val="0"/>
        <w:autoSpaceDN w:val="0"/>
        <w:snapToGrid w:val="0"/>
        <w:jc w:val="center"/>
        <w:rPr>
          <w:color w:val="auto"/>
          <w:sz w:val="24"/>
          <w:szCs w:val="24"/>
        </w:rPr>
      </w:pPr>
    </w:p>
    <w:p>
      <w:pPr>
        <w:autoSpaceDE w:val="0"/>
        <w:autoSpaceDN w:val="0"/>
        <w:snapToGrid w:val="0"/>
        <w:jc w:val="center"/>
        <w:rPr>
          <w:color w:val="auto"/>
          <w:sz w:val="24"/>
          <w:szCs w:val="24"/>
        </w:rPr>
      </w:pPr>
    </w:p>
    <w:p>
      <w:pPr>
        <w:autoSpaceDE w:val="0"/>
        <w:autoSpaceDN w:val="0"/>
        <w:snapToGrid w:val="0"/>
        <w:jc w:val="center"/>
        <w:rPr>
          <w:color w:val="auto"/>
          <w:sz w:val="24"/>
          <w:szCs w:val="24"/>
        </w:rPr>
      </w:pPr>
    </w:p>
    <w:p>
      <w:pPr>
        <w:autoSpaceDE w:val="0"/>
        <w:autoSpaceDN w:val="0"/>
        <w:snapToGrid w:val="0"/>
        <w:jc w:val="center"/>
        <w:rPr>
          <w:color w:val="auto"/>
          <w:sz w:val="24"/>
          <w:szCs w:val="24"/>
        </w:rPr>
      </w:pPr>
    </w:p>
    <w:p>
      <w:pPr>
        <w:autoSpaceDE w:val="0"/>
        <w:autoSpaceDN w:val="0"/>
        <w:snapToGrid w:val="0"/>
        <w:jc w:val="center"/>
        <w:rPr>
          <w:color w:val="auto"/>
          <w:sz w:val="24"/>
          <w:szCs w:val="24"/>
        </w:rPr>
      </w:pPr>
    </w:p>
    <w:p>
      <w:pPr>
        <w:autoSpaceDE w:val="0"/>
        <w:autoSpaceDN w:val="0"/>
        <w:snapToGrid w:val="0"/>
        <w:jc w:val="center"/>
        <w:rPr>
          <w:color w:val="auto"/>
          <w:sz w:val="24"/>
          <w:szCs w:val="24"/>
        </w:rPr>
      </w:pPr>
    </w:p>
    <w:p>
      <w:pPr>
        <w:autoSpaceDE w:val="0"/>
        <w:autoSpaceDN w:val="0"/>
        <w:snapToGrid w:val="0"/>
        <w:jc w:val="center"/>
        <w:rPr>
          <w:rFonts w:cs="Times New Roman"/>
          <w:color w:val="auto"/>
          <w:sz w:val="24"/>
          <w:szCs w:val="24"/>
        </w:rPr>
      </w:pPr>
      <w:r>
        <w:rPr>
          <w:rFonts w:hint="eastAsia" w:cs="宋体"/>
          <w:color w:val="auto"/>
          <w:sz w:val="56"/>
          <w:szCs w:val="56"/>
        </w:rPr>
        <w:t>第三卷</w:t>
      </w:r>
    </w:p>
    <w:p>
      <w:pPr>
        <w:autoSpaceDE w:val="0"/>
        <w:autoSpaceDN w:val="0"/>
        <w:snapToGrid w:val="0"/>
        <w:jc w:val="center"/>
        <w:rPr>
          <w:color w:val="auto"/>
          <w:sz w:val="24"/>
          <w:szCs w:val="24"/>
        </w:rPr>
      </w:pPr>
    </w:p>
    <w:p>
      <w:pPr>
        <w:pStyle w:val="50"/>
        <w:jc w:val="center"/>
        <w:rPr>
          <w:rFonts w:cs="Times New Roman"/>
          <w:color w:val="auto"/>
        </w:rPr>
      </w:pPr>
    </w:p>
    <w:p>
      <w:pPr>
        <w:pStyle w:val="50"/>
        <w:jc w:val="center"/>
        <w:rPr>
          <w:rFonts w:cs="Times New Roman"/>
          <w:color w:val="auto"/>
        </w:rPr>
      </w:pPr>
    </w:p>
    <w:p>
      <w:pPr>
        <w:pStyle w:val="50"/>
        <w:jc w:val="center"/>
        <w:rPr>
          <w:rFonts w:cs="Times New Roman"/>
          <w:color w:val="auto"/>
        </w:rPr>
      </w:pPr>
    </w:p>
    <w:p>
      <w:pPr>
        <w:pStyle w:val="50"/>
        <w:jc w:val="center"/>
        <w:rPr>
          <w:rFonts w:cs="Times New Roman"/>
          <w:color w:val="auto"/>
        </w:rPr>
      </w:pPr>
    </w:p>
    <w:p>
      <w:pPr>
        <w:pStyle w:val="50"/>
        <w:jc w:val="center"/>
        <w:rPr>
          <w:rFonts w:cs="Times New Roman"/>
          <w:color w:val="auto"/>
        </w:rPr>
      </w:pPr>
    </w:p>
    <w:p>
      <w:pPr>
        <w:pStyle w:val="50"/>
        <w:jc w:val="center"/>
        <w:rPr>
          <w:rFonts w:cs="Times New Roman"/>
          <w:color w:val="auto"/>
        </w:rPr>
      </w:pPr>
    </w:p>
    <w:p>
      <w:pPr>
        <w:pStyle w:val="50"/>
        <w:jc w:val="center"/>
        <w:rPr>
          <w:rFonts w:cs="Times New Roman"/>
          <w:color w:val="auto"/>
        </w:rPr>
      </w:pPr>
    </w:p>
    <w:p>
      <w:pPr>
        <w:pStyle w:val="50"/>
        <w:jc w:val="center"/>
        <w:rPr>
          <w:rFonts w:cs="Times New Roman"/>
          <w:color w:val="auto"/>
        </w:rPr>
      </w:pPr>
    </w:p>
    <w:p>
      <w:pPr>
        <w:pStyle w:val="50"/>
        <w:jc w:val="center"/>
        <w:rPr>
          <w:rFonts w:cs="Times New Roman"/>
          <w:color w:val="auto"/>
        </w:rPr>
      </w:pPr>
    </w:p>
    <w:p>
      <w:pPr>
        <w:pStyle w:val="50"/>
        <w:jc w:val="center"/>
        <w:rPr>
          <w:rFonts w:cs="Times New Roman"/>
          <w:color w:val="auto"/>
        </w:rPr>
      </w:pPr>
    </w:p>
    <w:p>
      <w:pPr>
        <w:pStyle w:val="50"/>
        <w:jc w:val="center"/>
        <w:rPr>
          <w:rFonts w:cs="Times New Roman"/>
          <w:color w:val="auto"/>
        </w:rPr>
      </w:pPr>
    </w:p>
    <w:p>
      <w:pPr>
        <w:pStyle w:val="50"/>
        <w:jc w:val="center"/>
        <w:rPr>
          <w:rFonts w:cs="Times New Roman"/>
          <w:color w:val="auto"/>
        </w:rPr>
      </w:pPr>
    </w:p>
    <w:p>
      <w:pPr>
        <w:pStyle w:val="50"/>
        <w:jc w:val="center"/>
        <w:rPr>
          <w:rFonts w:cs="Times New Roman"/>
          <w:color w:val="auto"/>
        </w:rPr>
      </w:pPr>
    </w:p>
    <w:p>
      <w:pPr>
        <w:pStyle w:val="50"/>
        <w:jc w:val="center"/>
        <w:rPr>
          <w:rFonts w:cs="Times New Roman"/>
          <w:color w:val="auto"/>
        </w:rPr>
      </w:pPr>
    </w:p>
    <w:p>
      <w:pPr>
        <w:pStyle w:val="50"/>
        <w:jc w:val="center"/>
        <w:rPr>
          <w:rFonts w:cs="Times New Roman"/>
          <w:color w:val="auto"/>
        </w:rPr>
      </w:pPr>
    </w:p>
    <w:p>
      <w:pPr>
        <w:pStyle w:val="50"/>
        <w:jc w:val="center"/>
        <w:rPr>
          <w:rFonts w:cs="Times New Roman"/>
          <w:color w:val="auto"/>
        </w:rPr>
      </w:pPr>
    </w:p>
    <w:p>
      <w:pPr>
        <w:pStyle w:val="50"/>
        <w:jc w:val="center"/>
        <w:rPr>
          <w:rFonts w:cs="Times New Roman"/>
          <w:color w:val="auto"/>
        </w:rPr>
      </w:pPr>
    </w:p>
    <w:p>
      <w:pPr>
        <w:pStyle w:val="50"/>
        <w:jc w:val="center"/>
        <w:rPr>
          <w:rFonts w:cs="Times New Roman"/>
          <w:color w:val="auto"/>
        </w:rPr>
      </w:pPr>
    </w:p>
    <w:p>
      <w:pPr>
        <w:pStyle w:val="50"/>
        <w:jc w:val="center"/>
        <w:rPr>
          <w:rFonts w:cs="Times New Roman"/>
          <w:color w:val="auto"/>
        </w:rPr>
      </w:pPr>
    </w:p>
    <w:p>
      <w:pPr>
        <w:pStyle w:val="50"/>
        <w:jc w:val="center"/>
        <w:rPr>
          <w:rFonts w:cs="Times New Roman"/>
          <w:color w:val="auto"/>
        </w:rPr>
      </w:pPr>
    </w:p>
    <w:p>
      <w:pPr>
        <w:pStyle w:val="50"/>
        <w:jc w:val="center"/>
        <w:rPr>
          <w:rFonts w:cs="Times New Roman"/>
          <w:color w:val="auto"/>
        </w:rPr>
      </w:pPr>
    </w:p>
    <w:p>
      <w:pPr>
        <w:pStyle w:val="50"/>
        <w:jc w:val="center"/>
        <w:rPr>
          <w:rFonts w:cs="Times New Roman"/>
          <w:color w:val="auto"/>
        </w:rPr>
      </w:pPr>
    </w:p>
    <w:p>
      <w:pPr>
        <w:pStyle w:val="50"/>
        <w:jc w:val="center"/>
        <w:rPr>
          <w:rFonts w:cs="Times New Roman"/>
          <w:color w:val="auto"/>
        </w:rPr>
      </w:pPr>
    </w:p>
    <w:p>
      <w:pPr>
        <w:pStyle w:val="50"/>
        <w:jc w:val="center"/>
        <w:rPr>
          <w:rFonts w:cs="Times New Roman"/>
          <w:color w:val="auto"/>
        </w:rPr>
      </w:pPr>
    </w:p>
    <w:p>
      <w:pPr>
        <w:pStyle w:val="50"/>
        <w:jc w:val="center"/>
        <w:rPr>
          <w:rFonts w:cs="Times New Roman"/>
          <w:color w:val="auto"/>
        </w:rPr>
      </w:pPr>
    </w:p>
    <w:p>
      <w:pPr>
        <w:pStyle w:val="50"/>
        <w:jc w:val="center"/>
        <w:rPr>
          <w:rFonts w:cs="Times New Roman"/>
          <w:color w:val="auto"/>
        </w:rPr>
      </w:pPr>
    </w:p>
    <w:p>
      <w:pPr>
        <w:pStyle w:val="50"/>
        <w:jc w:val="center"/>
        <w:rPr>
          <w:rFonts w:cs="Times New Roman"/>
          <w:color w:val="auto"/>
        </w:rPr>
      </w:pPr>
    </w:p>
    <w:p>
      <w:pPr>
        <w:pStyle w:val="50"/>
        <w:jc w:val="center"/>
        <w:rPr>
          <w:rFonts w:cs="Times New Roman"/>
          <w:color w:val="auto"/>
        </w:rPr>
      </w:pPr>
    </w:p>
    <w:p>
      <w:pPr>
        <w:pStyle w:val="50"/>
        <w:jc w:val="center"/>
        <w:rPr>
          <w:rFonts w:cs="Times New Roman"/>
          <w:color w:val="auto"/>
        </w:rPr>
      </w:pPr>
    </w:p>
    <w:p>
      <w:pPr>
        <w:pStyle w:val="50"/>
        <w:jc w:val="center"/>
        <w:rPr>
          <w:rFonts w:cs="Times New Roman"/>
          <w:color w:val="auto"/>
        </w:rPr>
      </w:pPr>
    </w:p>
    <w:p>
      <w:pPr>
        <w:pStyle w:val="50"/>
        <w:jc w:val="center"/>
        <w:rPr>
          <w:rFonts w:cs="Times New Roman"/>
          <w:color w:val="auto"/>
        </w:rPr>
      </w:pPr>
    </w:p>
    <w:p>
      <w:pPr>
        <w:pStyle w:val="50"/>
        <w:jc w:val="center"/>
        <w:rPr>
          <w:rFonts w:cs="Times New Roman"/>
          <w:color w:val="auto"/>
        </w:rPr>
      </w:pPr>
    </w:p>
    <w:p>
      <w:pPr>
        <w:pStyle w:val="50"/>
        <w:jc w:val="center"/>
        <w:rPr>
          <w:rFonts w:cs="Times New Roman"/>
          <w:color w:val="auto"/>
        </w:rPr>
      </w:pPr>
    </w:p>
    <w:p>
      <w:pPr>
        <w:pStyle w:val="50"/>
        <w:jc w:val="center"/>
        <w:rPr>
          <w:rFonts w:cs="Times New Roman"/>
          <w:color w:val="auto"/>
        </w:rPr>
      </w:pPr>
    </w:p>
    <w:p>
      <w:pPr>
        <w:pStyle w:val="50"/>
        <w:jc w:val="center"/>
        <w:rPr>
          <w:rFonts w:cs="Times New Roman"/>
          <w:color w:val="auto"/>
        </w:rPr>
      </w:pPr>
    </w:p>
    <w:p>
      <w:pPr>
        <w:pStyle w:val="50"/>
        <w:jc w:val="center"/>
        <w:rPr>
          <w:rFonts w:cs="Times New Roman"/>
          <w:color w:val="auto"/>
        </w:rPr>
      </w:pPr>
    </w:p>
    <w:p>
      <w:pPr>
        <w:pStyle w:val="50"/>
        <w:jc w:val="center"/>
        <w:rPr>
          <w:rFonts w:cs="Times New Roman"/>
          <w:color w:val="auto"/>
        </w:rPr>
      </w:pPr>
    </w:p>
    <w:p>
      <w:pPr>
        <w:pStyle w:val="50"/>
        <w:jc w:val="center"/>
        <w:rPr>
          <w:rFonts w:cs="Times New Roman"/>
          <w:color w:val="auto"/>
        </w:rPr>
      </w:pPr>
    </w:p>
    <w:p>
      <w:pPr>
        <w:pStyle w:val="50"/>
        <w:jc w:val="center"/>
        <w:rPr>
          <w:rFonts w:cs="Times New Roman"/>
          <w:color w:val="auto"/>
        </w:rPr>
      </w:pPr>
    </w:p>
    <w:p>
      <w:pPr>
        <w:pStyle w:val="50"/>
        <w:jc w:val="center"/>
        <w:rPr>
          <w:rFonts w:cs="Times New Roman"/>
          <w:color w:val="auto"/>
        </w:rPr>
      </w:pPr>
    </w:p>
    <w:p>
      <w:pPr>
        <w:pStyle w:val="2"/>
        <w:spacing w:before="480" w:after="240"/>
        <w:rPr>
          <w:rFonts w:cs="Times New Roman"/>
          <w:color w:val="auto"/>
          <w:sz w:val="18"/>
          <w:szCs w:val="18"/>
        </w:rPr>
      </w:pPr>
      <w:bookmarkStart w:id="68" w:name="_Toc514059671"/>
      <w:r>
        <w:rPr>
          <w:rFonts w:hint="eastAsia"/>
          <w:color w:val="auto"/>
        </w:rPr>
        <w:t>第六章投标文件格式</w:t>
      </w:r>
      <w:bookmarkEnd w:id="68"/>
    </w:p>
    <w:p>
      <w:pPr>
        <w:autoSpaceDE w:val="0"/>
        <w:autoSpaceDN w:val="0"/>
        <w:adjustRightInd w:val="0"/>
        <w:spacing w:line="360" w:lineRule="auto"/>
        <w:ind w:right="240"/>
        <w:rPr>
          <w:rFonts w:cs="Times New Roman"/>
          <w:color w:val="auto"/>
          <w:sz w:val="24"/>
          <w:szCs w:val="24"/>
        </w:rPr>
      </w:pPr>
    </w:p>
    <w:p>
      <w:pPr>
        <w:autoSpaceDE w:val="0"/>
        <w:autoSpaceDN w:val="0"/>
        <w:adjustRightInd w:val="0"/>
        <w:spacing w:line="360" w:lineRule="auto"/>
        <w:ind w:right="240"/>
        <w:rPr>
          <w:rFonts w:cs="Times New Roman"/>
          <w:color w:val="auto"/>
          <w:sz w:val="24"/>
          <w:szCs w:val="24"/>
        </w:rPr>
      </w:pPr>
    </w:p>
    <w:p>
      <w:pPr>
        <w:autoSpaceDE w:val="0"/>
        <w:autoSpaceDN w:val="0"/>
        <w:adjustRightInd w:val="0"/>
        <w:spacing w:line="360" w:lineRule="auto"/>
        <w:ind w:right="240"/>
        <w:rPr>
          <w:rFonts w:cs="Times New Roman"/>
          <w:color w:val="auto"/>
          <w:sz w:val="24"/>
          <w:szCs w:val="24"/>
        </w:rPr>
      </w:pPr>
    </w:p>
    <w:p>
      <w:pPr>
        <w:autoSpaceDE w:val="0"/>
        <w:autoSpaceDN w:val="0"/>
        <w:adjustRightInd w:val="0"/>
        <w:spacing w:line="360" w:lineRule="auto"/>
        <w:ind w:right="240"/>
        <w:rPr>
          <w:rFonts w:cs="Times New Roman"/>
          <w:color w:val="auto"/>
          <w:sz w:val="24"/>
          <w:szCs w:val="24"/>
        </w:rPr>
      </w:pPr>
    </w:p>
    <w:p>
      <w:pPr>
        <w:autoSpaceDE w:val="0"/>
        <w:autoSpaceDN w:val="0"/>
        <w:adjustRightInd w:val="0"/>
        <w:spacing w:line="360" w:lineRule="auto"/>
        <w:ind w:right="240"/>
        <w:rPr>
          <w:rFonts w:cs="Times New Roman"/>
          <w:color w:val="auto"/>
          <w:sz w:val="24"/>
          <w:szCs w:val="24"/>
        </w:rPr>
      </w:pPr>
    </w:p>
    <w:p>
      <w:pPr>
        <w:autoSpaceDE w:val="0"/>
        <w:autoSpaceDN w:val="0"/>
        <w:adjustRightInd w:val="0"/>
        <w:spacing w:line="360" w:lineRule="auto"/>
        <w:ind w:right="240"/>
        <w:rPr>
          <w:rFonts w:cs="Times New Roman"/>
          <w:color w:val="auto"/>
          <w:sz w:val="24"/>
          <w:szCs w:val="24"/>
        </w:rPr>
      </w:pPr>
    </w:p>
    <w:p>
      <w:pPr>
        <w:autoSpaceDE w:val="0"/>
        <w:autoSpaceDN w:val="0"/>
        <w:adjustRightInd w:val="0"/>
        <w:spacing w:line="360" w:lineRule="auto"/>
        <w:ind w:right="240"/>
        <w:rPr>
          <w:rFonts w:cs="Times New Roman"/>
          <w:color w:val="auto"/>
          <w:sz w:val="24"/>
          <w:szCs w:val="24"/>
        </w:rPr>
      </w:pPr>
    </w:p>
    <w:p>
      <w:pPr>
        <w:autoSpaceDE w:val="0"/>
        <w:autoSpaceDN w:val="0"/>
        <w:adjustRightInd w:val="0"/>
        <w:spacing w:line="360" w:lineRule="auto"/>
        <w:ind w:right="240"/>
        <w:rPr>
          <w:rFonts w:cs="Times New Roman"/>
          <w:color w:val="auto"/>
          <w:sz w:val="24"/>
          <w:szCs w:val="24"/>
        </w:rPr>
      </w:pPr>
    </w:p>
    <w:p>
      <w:pPr>
        <w:autoSpaceDE w:val="0"/>
        <w:autoSpaceDN w:val="0"/>
        <w:adjustRightInd w:val="0"/>
        <w:spacing w:line="360" w:lineRule="auto"/>
        <w:ind w:right="240"/>
        <w:rPr>
          <w:rFonts w:cs="Times New Roman"/>
          <w:color w:val="auto"/>
          <w:sz w:val="24"/>
          <w:szCs w:val="24"/>
        </w:rPr>
      </w:pPr>
    </w:p>
    <w:p>
      <w:pPr>
        <w:autoSpaceDE w:val="0"/>
        <w:autoSpaceDN w:val="0"/>
        <w:adjustRightInd w:val="0"/>
        <w:spacing w:line="360" w:lineRule="auto"/>
        <w:ind w:right="240"/>
        <w:rPr>
          <w:rFonts w:cs="Times New Roman"/>
          <w:color w:val="auto"/>
          <w:sz w:val="24"/>
          <w:szCs w:val="24"/>
        </w:rPr>
      </w:pPr>
    </w:p>
    <w:p>
      <w:pPr>
        <w:autoSpaceDE w:val="0"/>
        <w:autoSpaceDN w:val="0"/>
        <w:adjustRightInd w:val="0"/>
        <w:spacing w:line="360" w:lineRule="auto"/>
        <w:ind w:right="240"/>
        <w:rPr>
          <w:rFonts w:cs="Times New Roman"/>
          <w:color w:val="auto"/>
          <w:sz w:val="24"/>
          <w:szCs w:val="24"/>
        </w:rPr>
      </w:pPr>
    </w:p>
    <w:p>
      <w:pPr>
        <w:autoSpaceDE w:val="0"/>
        <w:autoSpaceDN w:val="0"/>
        <w:adjustRightInd w:val="0"/>
        <w:spacing w:line="360" w:lineRule="auto"/>
        <w:ind w:right="240"/>
        <w:rPr>
          <w:rFonts w:cs="Times New Roman"/>
          <w:color w:val="auto"/>
          <w:sz w:val="24"/>
          <w:szCs w:val="24"/>
        </w:rPr>
      </w:pPr>
    </w:p>
    <w:p>
      <w:pPr>
        <w:autoSpaceDE w:val="0"/>
        <w:autoSpaceDN w:val="0"/>
        <w:adjustRightInd w:val="0"/>
        <w:spacing w:line="360" w:lineRule="auto"/>
        <w:ind w:right="240"/>
        <w:rPr>
          <w:rFonts w:cs="Times New Roman"/>
          <w:color w:val="auto"/>
          <w:sz w:val="24"/>
          <w:szCs w:val="24"/>
        </w:rPr>
      </w:pPr>
    </w:p>
    <w:p>
      <w:pPr>
        <w:autoSpaceDE w:val="0"/>
        <w:autoSpaceDN w:val="0"/>
        <w:adjustRightInd w:val="0"/>
        <w:spacing w:line="360" w:lineRule="auto"/>
        <w:ind w:right="240"/>
        <w:rPr>
          <w:rFonts w:cs="Times New Roman"/>
          <w:color w:val="auto"/>
          <w:sz w:val="24"/>
          <w:szCs w:val="24"/>
        </w:rPr>
      </w:pPr>
    </w:p>
    <w:p>
      <w:pPr>
        <w:autoSpaceDE w:val="0"/>
        <w:autoSpaceDN w:val="0"/>
        <w:adjustRightInd w:val="0"/>
        <w:spacing w:line="360" w:lineRule="auto"/>
        <w:ind w:right="240"/>
        <w:rPr>
          <w:rFonts w:cs="Times New Roman"/>
          <w:color w:val="auto"/>
          <w:sz w:val="24"/>
          <w:szCs w:val="24"/>
        </w:rPr>
      </w:pPr>
    </w:p>
    <w:p>
      <w:pPr>
        <w:autoSpaceDE w:val="0"/>
        <w:autoSpaceDN w:val="0"/>
        <w:adjustRightInd w:val="0"/>
        <w:spacing w:line="360" w:lineRule="auto"/>
        <w:ind w:right="240"/>
        <w:rPr>
          <w:rFonts w:cs="Times New Roman"/>
          <w:color w:val="auto"/>
          <w:sz w:val="24"/>
          <w:szCs w:val="24"/>
        </w:rPr>
      </w:pPr>
    </w:p>
    <w:p>
      <w:pPr>
        <w:autoSpaceDE w:val="0"/>
        <w:autoSpaceDN w:val="0"/>
        <w:adjustRightInd w:val="0"/>
        <w:spacing w:line="360" w:lineRule="auto"/>
        <w:ind w:right="240"/>
        <w:rPr>
          <w:rFonts w:cs="Times New Roman"/>
          <w:color w:val="auto"/>
          <w:sz w:val="24"/>
          <w:szCs w:val="24"/>
        </w:rPr>
      </w:pPr>
    </w:p>
    <w:p>
      <w:pPr>
        <w:autoSpaceDE w:val="0"/>
        <w:autoSpaceDN w:val="0"/>
        <w:adjustRightInd w:val="0"/>
        <w:spacing w:line="360" w:lineRule="auto"/>
        <w:ind w:right="240"/>
        <w:rPr>
          <w:rFonts w:cs="Times New Roman"/>
          <w:color w:val="auto"/>
          <w:sz w:val="24"/>
          <w:szCs w:val="24"/>
        </w:rPr>
      </w:pPr>
    </w:p>
    <w:p>
      <w:pPr>
        <w:autoSpaceDE w:val="0"/>
        <w:autoSpaceDN w:val="0"/>
        <w:adjustRightInd w:val="0"/>
        <w:spacing w:line="360" w:lineRule="auto"/>
        <w:ind w:right="240"/>
        <w:rPr>
          <w:rFonts w:cs="Times New Roman"/>
          <w:color w:val="auto"/>
          <w:sz w:val="24"/>
          <w:szCs w:val="24"/>
        </w:rPr>
      </w:pPr>
    </w:p>
    <w:p>
      <w:pPr>
        <w:autoSpaceDE w:val="0"/>
        <w:autoSpaceDN w:val="0"/>
        <w:adjustRightInd w:val="0"/>
        <w:spacing w:line="360" w:lineRule="auto"/>
        <w:ind w:right="240"/>
        <w:rPr>
          <w:rFonts w:cs="Times New Roman"/>
          <w:color w:val="auto"/>
          <w:sz w:val="24"/>
          <w:szCs w:val="24"/>
        </w:rPr>
      </w:pPr>
    </w:p>
    <w:p>
      <w:pPr>
        <w:pStyle w:val="50"/>
        <w:rPr>
          <w:rFonts w:ascii="Times New Roman" w:cs="Times New Roman"/>
          <w:color w:val="auto"/>
        </w:rPr>
      </w:pPr>
    </w:p>
    <w:p>
      <w:pPr>
        <w:pStyle w:val="50"/>
        <w:rPr>
          <w:rFonts w:cs="Times New Roman"/>
          <w:color w:val="auto"/>
        </w:rPr>
      </w:pPr>
    </w:p>
    <w:p>
      <w:pPr>
        <w:pStyle w:val="50"/>
        <w:rPr>
          <w:rFonts w:cs="Times New Roman"/>
          <w:color w:val="auto"/>
        </w:rPr>
      </w:pPr>
    </w:p>
    <w:p>
      <w:pPr>
        <w:pStyle w:val="50"/>
        <w:rPr>
          <w:rFonts w:cs="Times New Roman"/>
          <w:color w:val="auto"/>
        </w:rPr>
      </w:pPr>
    </w:p>
    <w:p>
      <w:pPr>
        <w:pStyle w:val="50"/>
        <w:rPr>
          <w:rFonts w:cs="Times New Roman"/>
          <w:color w:val="auto"/>
        </w:rPr>
      </w:pPr>
    </w:p>
    <w:p>
      <w:pPr>
        <w:pStyle w:val="50"/>
        <w:rPr>
          <w:rFonts w:cs="Times New Roman"/>
          <w:color w:val="auto"/>
        </w:rPr>
      </w:pPr>
    </w:p>
    <w:p>
      <w:pPr>
        <w:pStyle w:val="50"/>
        <w:rPr>
          <w:rFonts w:cs="Times New Roman"/>
          <w:color w:val="auto"/>
        </w:rPr>
      </w:pPr>
    </w:p>
    <w:p>
      <w:pPr>
        <w:pStyle w:val="50"/>
        <w:rPr>
          <w:rFonts w:cs="Times New Roman"/>
          <w:color w:val="auto"/>
        </w:rPr>
      </w:pPr>
    </w:p>
    <w:p>
      <w:pPr>
        <w:pStyle w:val="50"/>
        <w:rPr>
          <w:rFonts w:cs="Times New Roman"/>
          <w:color w:val="auto"/>
        </w:rPr>
      </w:pPr>
    </w:p>
    <w:p>
      <w:pPr>
        <w:pStyle w:val="50"/>
        <w:rPr>
          <w:rFonts w:cs="Times New Roman"/>
          <w:color w:val="auto"/>
        </w:rPr>
      </w:pPr>
    </w:p>
    <w:p>
      <w:pPr>
        <w:autoSpaceDE w:val="0"/>
        <w:autoSpaceDN w:val="0"/>
        <w:snapToGrid w:val="0"/>
        <w:ind w:firstLine="2040"/>
        <w:jc w:val="left"/>
        <w:rPr>
          <w:rFonts w:cs="Times New Roman"/>
          <w:color w:val="auto"/>
          <w:sz w:val="31"/>
          <w:szCs w:val="31"/>
        </w:rPr>
      </w:pPr>
      <w:r>
        <w:rPr>
          <w:rFonts w:hint="eastAsia" w:cs="宋体"/>
          <w:color w:val="auto"/>
          <w:sz w:val="31"/>
          <w:szCs w:val="31"/>
        </w:rPr>
        <w:t>省（自治区、直辖市）</w:t>
      </w:r>
    </w:p>
    <w:p>
      <w:pPr>
        <w:autoSpaceDE w:val="0"/>
        <w:autoSpaceDN w:val="0"/>
        <w:snapToGrid w:val="0"/>
        <w:ind w:firstLine="2635"/>
        <w:jc w:val="left"/>
        <w:rPr>
          <w:color w:val="auto"/>
          <w:sz w:val="31"/>
          <w:szCs w:val="31"/>
        </w:rPr>
      </w:pPr>
    </w:p>
    <w:p>
      <w:pPr>
        <w:autoSpaceDE w:val="0"/>
        <w:autoSpaceDN w:val="0"/>
        <w:snapToGrid w:val="0"/>
        <w:jc w:val="center"/>
        <w:rPr>
          <w:rFonts w:ascii="宋体" w:cs="Times New Roman"/>
          <w:color w:val="auto"/>
          <w:sz w:val="31"/>
          <w:szCs w:val="31"/>
        </w:rPr>
      </w:pPr>
      <w:r>
        <w:rPr>
          <w:rFonts w:hint="eastAsia" w:ascii="宋体" w:cs="宋体"/>
          <w:color w:val="auto"/>
          <w:sz w:val="31"/>
          <w:szCs w:val="31"/>
        </w:rPr>
        <w:t>（项目名称）标段勘察设计招标</w:t>
      </w:r>
    </w:p>
    <w:p>
      <w:pPr>
        <w:autoSpaceDE w:val="0"/>
        <w:autoSpaceDN w:val="0"/>
        <w:snapToGrid w:val="0"/>
        <w:jc w:val="left"/>
        <w:rPr>
          <w:rFonts w:ascii="Times New Roman" w:cs="Times New Roman"/>
          <w:color w:val="auto"/>
          <w:sz w:val="24"/>
          <w:szCs w:val="24"/>
        </w:rPr>
      </w:pPr>
    </w:p>
    <w:p>
      <w:pPr>
        <w:autoSpaceDE w:val="0"/>
        <w:autoSpaceDN w:val="0"/>
        <w:snapToGrid w:val="0"/>
        <w:jc w:val="left"/>
        <w:rPr>
          <w:color w:val="auto"/>
          <w:sz w:val="24"/>
          <w:szCs w:val="24"/>
        </w:rPr>
      </w:pPr>
    </w:p>
    <w:p>
      <w:pPr>
        <w:autoSpaceDE w:val="0"/>
        <w:autoSpaceDN w:val="0"/>
        <w:snapToGrid w:val="0"/>
        <w:jc w:val="left"/>
        <w:rPr>
          <w:color w:val="auto"/>
          <w:sz w:val="24"/>
          <w:szCs w:val="24"/>
        </w:rPr>
      </w:pPr>
    </w:p>
    <w:p>
      <w:pPr>
        <w:autoSpaceDE w:val="0"/>
        <w:autoSpaceDN w:val="0"/>
        <w:snapToGrid w:val="0"/>
        <w:jc w:val="left"/>
        <w:rPr>
          <w:color w:val="auto"/>
          <w:sz w:val="24"/>
          <w:szCs w:val="24"/>
        </w:rPr>
      </w:pPr>
    </w:p>
    <w:p>
      <w:pPr>
        <w:autoSpaceDE w:val="0"/>
        <w:autoSpaceDN w:val="0"/>
        <w:snapToGrid w:val="0"/>
        <w:jc w:val="left"/>
        <w:rPr>
          <w:color w:val="auto"/>
          <w:sz w:val="24"/>
          <w:szCs w:val="24"/>
        </w:rPr>
      </w:pPr>
    </w:p>
    <w:p>
      <w:pPr>
        <w:autoSpaceDE w:val="0"/>
        <w:autoSpaceDN w:val="0"/>
        <w:snapToGrid w:val="0"/>
        <w:jc w:val="center"/>
        <w:rPr>
          <w:rFonts w:ascii="黑体" w:eastAsia="黑体" w:cs="Times New Roman"/>
          <w:color w:val="auto"/>
          <w:sz w:val="72"/>
          <w:szCs w:val="72"/>
        </w:rPr>
      </w:pPr>
      <w:r>
        <w:rPr>
          <w:rFonts w:hint="eastAsia" w:ascii="黑体" w:hAnsi="黑体" w:eastAsia="黑体" w:cs="黑体"/>
          <w:color w:val="auto"/>
          <w:sz w:val="72"/>
          <w:szCs w:val="72"/>
        </w:rPr>
        <w:t>投标文件</w:t>
      </w:r>
    </w:p>
    <w:p>
      <w:pPr>
        <w:autoSpaceDE w:val="0"/>
        <w:autoSpaceDN w:val="0"/>
        <w:snapToGrid w:val="0"/>
        <w:jc w:val="center"/>
        <w:rPr>
          <w:rFonts w:ascii="黑体" w:eastAsia="黑体" w:cs="Times New Roman"/>
          <w:color w:val="auto"/>
          <w:sz w:val="44"/>
          <w:szCs w:val="44"/>
        </w:rPr>
      </w:pPr>
      <w:r>
        <w:rPr>
          <w:rFonts w:hint="eastAsia" w:ascii="黑体" w:hAnsi="黑体" w:eastAsia="黑体" w:cs="黑体"/>
          <w:color w:val="auto"/>
          <w:sz w:val="44"/>
          <w:szCs w:val="44"/>
        </w:rPr>
        <w:t>（商务文件）</w:t>
      </w:r>
    </w:p>
    <w:p>
      <w:pPr>
        <w:autoSpaceDE w:val="0"/>
        <w:autoSpaceDN w:val="0"/>
        <w:snapToGrid w:val="0"/>
        <w:jc w:val="left"/>
        <w:rPr>
          <w:color w:val="auto"/>
          <w:sz w:val="24"/>
          <w:szCs w:val="24"/>
        </w:rPr>
      </w:pPr>
    </w:p>
    <w:p>
      <w:pPr>
        <w:autoSpaceDE w:val="0"/>
        <w:autoSpaceDN w:val="0"/>
        <w:snapToGrid w:val="0"/>
        <w:jc w:val="left"/>
        <w:rPr>
          <w:color w:val="auto"/>
          <w:sz w:val="24"/>
          <w:szCs w:val="24"/>
        </w:rPr>
      </w:pPr>
    </w:p>
    <w:p>
      <w:pPr>
        <w:autoSpaceDE w:val="0"/>
        <w:autoSpaceDN w:val="0"/>
        <w:snapToGrid w:val="0"/>
        <w:jc w:val="left"/>
        <w:rPr>
          <w:color w:val="auto"/>
          <w:sz w:val="24"/>
          <w:szCs w:val="24"/>
        </w:rPr>
      </w:pPr>
    </w:p>
    <w:p>
      <w:pPr>
        <w:autoSpaceDE w:val="0"/>
        <w:autoSpaceDN w:val="0"/>
        <w:snapToGrid w:val="0"/>
        <w:jc w:val="left"/>
        <w:rPr>
          <w:color w:val="auto"/>
          <w:sz w:val="24"/>
          <w:szCs w:val="24"/>
        </w:rPr>
      </w:pPr>
    </w:p>
    <w:p>
      <w:pPr>
        <w:autoSpaceDE w:val="0"/>
        <w:autoSpaceDN w:val="0"/>
        <w:snapToGrid w:val="0"/>
        <w:jc w:val="left"/>
        <w:rPr>
          <w:color w:val="auto"/>
          <w:sz w:val="24"/>
          <w:szCs w:val="24"/>
        </w:rPr>
      </w:pPr>
    </w:p>
    <w:p>
      <w:pPr>
        <w:autoSpaceDE w:val="0"/>
        <w:autoSpaceDN w:val="0"/>
        <w:snapToGrid w:val="0"/>
        <w:jc w:val="left"/>
        <w:rPr>
          <w:color w:val="auto"/>
          <w:sz w:val="24"/>
          <w:szCs w:val="24"/>
        </w:rPr>
      </w:pPr>
    </w:p>
    <w:p>
      <w:pPr>
        <w:autoSpaceDE w:val="0"/>
        <w:autoSpaceDN w:val="0"/>
        <w:snapToGrid w:val="0"/>
        <w:jc w:val="left"/>
        <w:rPr>
          <w:color w:val="auto"/>
          <w:sz w:val="24"/>
          <w:szCs w:val="24"/>
        </w:rPr>
      </w:pPr>
    </w:p>
    <w:p>
      <w:pPr>
        <w:autoSpaceDE w:val="0"/>
        <w:autoSpaceDN w:val="0"/>
        <w:snapToGrid w:val="0"/>
        <w:jc w:val="left"/>
        <w:rPr>
          <w:color w:val="auto"/>
          <w:sz w:val="24"/>
          <w:szCs w:val="24"/>
        </w:rPr>
      </w:pPr>
    </w:p>
    <w:p>
      <w:pPr>
        <w:autoSpaceDE w:val="0"/>
        <w:autoSpaceDN w:val="0"/>
        <w:snapToGrid w:val="0"/>
        <w:jc w:val="left"/>
        <w:rPr>
          <w:color w:val="auto"/>
          <w:sz w:val="24"/>
          <w:szCs w:val="24"/>
        </w:rPr>
      </w:pPr>
    </w:p>
    <w:p>
      <w:pPr>
        <w:autoSpaceDE w:val="0"/>
        <w:autoSpaceDN w:val="0"/>
        <w:snapToGrid w:val="0"/>
        <w:jc w:val="left"/>
        <w:rPr>
          <w:color w:val="auto"/>
          <w:sz w:val="24"/>
          <w:szCs w:val="24"/>
        </w:rPr>
      </w:pPr>
    </w:p>
    <w:p>
      <w:pPr>
        <w:autoSpaceDE w:val="0"/>
        <w:autoSpaceDN w:val="0"/>
        <w:snapToGrid w:val="0"/>
        <w:jc w:val="left"/>
        <w:rPr>
          <w:color w:val="auto"/>
          <w:sz w:val="24"/>
          <w:szCs w:val="24"/>
        </w:rPr>
      </w:pPr>
    </w:p>
    <w:p>
      <w:pPr>
        <w:autoSpaceDE w:val="0"/>
        <w:autoSpaceDN w:val="0"/>
        <w:snapToGrid w:val="0"/>
        <w:jc w:val="left"/>
        <w:rPr>
          <w:color w:val="auto"/>
          <w:sz w:val="24"/>
          <w:szCs w:val="24"/>
        </w:rPr>
      </w:pPr>
    </w:p>
    <w:p>
      <w:pPr>
        <w:autoSpaceDE w:val="0"/>
        <w:autoSpaceDN w:val="0"/>
        <w:snapToGrid w:val="0"/>
        <w:jc w:val="left"/>
        <w:rPr>
          <w:color w:val="auto"/>
          <w:sz w:val="24"/>
          <w:szCs w:val="24"/>
        </w:rPr>
      </w:pPr>
    </w:p>
    <w:p>
      <w:pPr>
        <w:autoSpaceDE w:val="0"/>
        <w:autoSpaceDN w:val="0"/>
        <w:snapToGrid w:val="0"/>
        <w:jc w:val="left"/>
        <w:rPr>
          <w:color w:val="auto"/>
          <w:sz w:val="24"/>
          <w:szCs w:val="24"/>
        </w:rPr>
      </w:pPr>
    </w:p>
    <w:p>
      <w:pPr>
        <w:autoSpaceDE w:val="0"/>
        <w:autoSpaceDN w:val="0"/>
        <w:snapToGrid w:val="0"/>
        <w:jc w:val="left"/>
        <w:rPr>
          <w:color w:val="auto"/>
          <w:sz w:val="24"/>
          <w:szCs w:val="24"/>
        </w:rPr>
      </w:pPr>
    </w:p>
    <w:p>
      <w:pPr>
        <w:autoSpaceDE w:val="0"/>
        <w:autoSpaceDN w:val="0"/>
        <w:snapToGrid w:val="0"/>
        <w:jc w:val="left"/>
        <w:rPr>
          <w:color w:val="auto"/>
          <w:sz w:val="24"/>
          <w:szCs w:val="24"/>
        </w:rPr>
      </w:pPr>
    </w:p>
    <w:p>
      <w:pPr>
        <w:autoSpaceDE w:val="0"/>
        <w:autoSpaceDN w:val="0"/>
        <w:snapToGrid w:val="0"/>
        <w:jc w:val="left"/>
        <w:rPr>
          <w:color w:val="auto"/>
          <w:sz w:val="24"/>
          <w:szCs w:val="24"/>
        </w:rPr>
      </w:pPr>
    </w:p>
    <w:p>
      <w:pPr>
        <w:autoSpaceDE w:val="0"/>
        <w:autoSpaceDN w:val="0"/>
        <w:snapToGrid w:val="0"/>
        <w:jc w:val="left"/>
        <w:rPr>
          <w:color w:val="auto"/>
          <w:sz w:val="24"/>
          <w:szCs w:val="24"/>
        </w:rPr>
      </w:pPr>
    </w:p>
    <w:p>
      <w:pPr>
        <w:autoSpaceDE w:val="0"/>
        <w:autoSpaceDN w:val="0"/>
        <w:snapToGrid w:val="0"/>
        <w:jc w:val="left"/>
        <w:rPr>
          <w:color w:val="auto"/>
          <w:sz w:val="24"/>
          <w:szCs w:val="24"/>
        </w:rPr>
      </w:pPr>
    </w:p>
    <w:p>
      <w:pPr>
        <w:autoSpaceDE w:val="0"/>
        <w:autoSpaceDN w:val="0"/>
        <w:snapToGrid w:val="0"/>
        <w:jc w:val="center"/>
        <w:rPr>
          <w:rFonts w:ascii="Times New Roman" w:eastAsia="黑体" w:cs="Times New Roman"/>
          <w:color w:val="auto"/>
          <w:sz w:val="28"/>
          <w:szCs w:val="28"/>
          <w:u w:val="single"/>
        </w:rPr>
      </w:pPr>
      <w:r>
        <w:rPr>
          <w:rFonts w:hint="eastAsia" w:ascii="黑体" w:hAnsi="黑体" w:eastAsia="黑体" w:cs="黑体"/>
          <w:color w:val="auto"/>
          <w:sz w:val="28"/>
          <w:szCs w:val="28"/>
        </w:rPr>
        <w:t>投标人：（盖单位章）</w:t>
      </w:r>
    </w:p>
    <w:p>
      <w:pPr>
        <w:autoSpaceDE w:val="0"/>
        <w:autoSpaceDN w:val="0"/>
        <w:snapToGrid w:val="0"/>
        <w:jc w:val="center"/>
        <w:rPr>
          <w:rFonts w:eastAsia="黑体"/>
          <w:color w:val="auto"/>
          <w:sz w:val="28"/>
          <w:szCs w:val="28"/>
          <w:u w:val="single"/>
        </w:rPr>
      </w:pPr>
    </w:p>
    <w:p>
      <w:pPr>
        <w:autoSpaceDE w:val="0"/>
        <w:autoSpaceDN w:val="0"/>
        <w:snapToGrid w:val="0"/>
        <w:jc w:val="center"/>
        <w:rPr>
          <w:rFonts w:eastAsia="黑体"/>
          <w:color w:val="auto"/>
          <w:sz w:val="28"/>
          <w:szCs w:val="28"/>
          <w:u w:val="single"/>
        </w:rPr>
      </w:pPr>
    </w:p>
    <w:p>
      <w:pPr>
        <w:autoSpaceDE w:val="0"/>
        <w:autoSpaceDN w:val="0"/>
        <w:snapToGrid w:val="0"/>
        <w:jc w:val="center"/>
        <w:rPr>
          <w:rFonts w:eastAsia="黑体" w:cs="Times New Roman"/>
          <w:color w:val="auto"/>
          <w:sz w:val="28"/>
          <w:szCs w:val="28"/>
        </w:rPr>
      </w:pPr>
      <w:r>
        <w:rPr>
          <w:rFonts w:hint="eastAsia" w:ascii="黑体" w:hAnsi="黑体" w:eastAsia="黑体" w:cs="黑体"/>
          <w:color w:val="auto"/>
          <w:sz w:val="28"/>
          <w:szCs w:val="28"/>
        </w:rPr>
        <w:t>年月日</w:t>
      </w:r>
    </w:p>
    <w:p>
      <w:pPr>
        <w:rPr>
          <w:rFonts w:cs="Times New Roman"/>
          <w:color w:val="auto"/>
        </w:rPr>
      </w:pPr>
      <w:r>
        <w:rPr>
          <w:rFonts w:cs="Times New Roman"/>
          <w:color w:val="auto"/>
        </w:rPr>
        <w:br w:type="page"/>
      </w:r>
    </w:p>
    <w:p>
      <w:pPr>
        <w:pStyle w:val="50"/>
        <w:jc w:val="center"/>
        <w:rPr>
          <w:rFonts w:ascii="黑体" w:eastAsia="黑体" w:cs="Times New Roman"/>
          <w:b/>
          <w:bCs/>
          <w:color w:val="auto"/>
          <w:sz w:val="32"/>
          <w:szCs w:val="32"/>
        </w:rPr>
      </w:pPr>
      <w:r>
        <w:rPr>
          <w:rFonts w:hint="eastAsia" w:ascii="黑体" w:eastAsia="黑体" w:cs="黑体"/>
          <w:b/>
          <w:bCs/>
          <w:color w:val="auto"/>
          <w:sz w:val="32"/>
          <w:szCs w:val="32"/>
        </w:rPr>
        <w:t>目录</w:t>
      </w:r>
    </w:p>
    <w:p>
      <w:pPr>
        <w:pStyle w:val="50"/>
        <w:rPr>
          <w:color w:val="auto"/>
          <w:sz w:val="28"/>
          <w:szCs w:val="28"/>
        </w:rPr>
      </w:pPr>
    </w:p>
    <w:p>
      <w:pPr>
        <w:pStyle w:val="50"/>
        <w:spacing w:line="360" w:lineRule="auto"/>
        <w:rPr>
          <w:rFonts w:cs="Times New Roman"/>
          <w:color w:val="auto"/>
        </w:rPr>
      </w:pPr>
    </w:p>
    <w:p>
      <w:pPr>
        <w:pStyle w:val="50"/>
        <w:spacing w:line="360" w:lineRule="auto"/>
        <w:rPr>
          <w:rFonts w:cs="Times New Roman"/>
          <w:color w:val="auto"/>
        </w:rPr>
      </w:pPr>
    </w:p>
    <w:p>
      <w:pPr>
        <w:pStyle w:val="50"/>
        <w:spacing w:line="360" w:lineRule="auto"/>
        <w:rPr>
          <w:rFonts w:cs="Times New Roman"/>
          <w:color w:val="auto"/>
        </w:rPr>
      </w:pPr>
      <w:r>
        <w:rPr>
          <w:rFonts w:hint="eastAsia" w:cs="宋体"/>
          <w:color w:val="auto"/>
        </w:rPr>
        <w:t>一、投标函</w:t>
      </w:r>
    </w:p>
    <w:p>
      <w:pPr>
        <w:pStyle w:val="50"/>
        <w:spacing w:line="360" w:lineRule="auto"/>
        <w:rPr>
          <w:rFonts w:cs="Times New Roman"/>
          <w:color w:val="auto"/>
        </w:rPr>
      </w:pPr>
      <w:r>
        <w:rPr>
          <w:rFonts w:hint="eastAsia" w:cs="宋体"/>
          <w:color w:val="auto"/>
        </w:rPr>
        <w:t>二、授权委托书或法定代表人身份证明</w:t>
      </w:r>
    </w:p>
    <w:p>
      <w:pPr>
        <w:autoSpaceDE w:val="0"/>
        <w:autoSpaceDN w:val="0"/>
        <w:snapToGrid w:val="0"/>
        <w:spacing w:line="360" w:lineRule="auto"/>
        <w:jc w:val="left"/>
        <w:rPr>
          <w:rFonts w:cs="Times New Roman"/>
          <w:color w:val="auto"/>
          <w:sz w:val="24"/>
          <w:szCs w:val="24"/>
        </w:rPr>
      </w:pPr>
      <w:r>
        <w:rPr>
          <w:rFonts w:hint="eastAsia" w:cs="宋体"/>
          <w:color w:val="auto"/>
          <w:sz w:val="24"/>
          <w:szCs w:val="24"/>
        </w:rPr>
        <w:t>三、联合体协议书</w:t>
      </w:r>
    </w:p>
    <w:p>
      <w:pPr>
        <w:autoSpaceDE w:val="0"/>
        <w:autoSpaceDN w:val="0"/>
        <w:snapToGrid w:val="0"/>
        <w:spacing w:line="360" w:lineRule="auto"/>
        <w:jc w:val="left"/>
        <w:rPr>
          <w:color w:val="auto"/>
          <w:sz w:val="24"/>
          <w:szCs w:val="24"/>
        </w:rPr>
      </w:pPr>
      <w:r>
        <w:rPr>
          <w:rFonts w:hint="eastAsia" w:cs="宋体"/>
          <w:color w:val="auto"/>
        </w:rPr>
        <w:t>四、</w:t>
      </w:r>
      <w:r>
        <w:rPr>
          <w:rFonts w:hint="eastAsia" w:cs="宋体"/>
          <w:color w:val="auto"/>
          <w:sz w:val="24"/>
          <w:szCs w:val="24"/>
        </w:rPr>
        <w:t>投标保证金</w:t>
      </w:r>
    </w:p>
    <w:p>
      <w:pPr>
        <w:pStyle w:val="50"/>
        <w:spacing w:line="360" w:lineRule="auto"/>
        <w:rPr>
          <w:rFonts w:cs="Times New Roman"/>
          <w:color w:val="auto"/>
        </w:rPr>
      </w:pPr>
      <w:r>
        <w:rPr>
          <w:rFonts w:hint="eastAsia" w:cs="宋体"/>
          <w:color w:val="auto"/>
        </w:rPr>
        <w:t>五、资格审查资料</w:t>
      </w:r>
    </w:p>
    <w:p>
      <w:pPr>
        <w:pStyle w:val="50"/>
        <w:spacing w:line="360" w:lineRule="auto"/>
        <w:rPr>
          <w:rFonts w:cs="Times New Roman"/>
          <w:color w:val="auto"/>
        </w:rPr>
      </w:pPr>
      <w:r>
        <w:rPr>
          <w:rFonts w:hint="eastAsia" w:cs="宋体"/>
          <w:color w:val="auto"/>
        </w:rPr>
        <w:t>六、其他材料</w:t>
      </w:r>
    </w:p>
    <w:p>
      <w:pPr>
        <w:pStyle w:val="50"/>
        <w:spacing w:line="360" w:lineRule="auto"/>
        <w:rPr>
          <w:rFonts w:ascii="黑体" w:eastAsia="黑体" w:cs="Times New Roman"/>
          <w:color w:val="auto"/>
        </w:rPr>
      </w:pPr>
    </w:p>
    <w:p>
      <w:pPr>
        <w:autoSpaceDE w:val="0"/>
        <w:autoSpaceDN w:val="0"/>
        <w:snapToGrid w:val="0"/>
        <w:jc w:val="center"/>
        <w:rPr>
          <w:rFonts w:eastAsia="黑体" w:cs="Times New Roman"/>
          <w:b/>
          <w:bCs/>
          <w:color w:val="auto"/>
          <w:sz w:val="30"/>
          <w:szCs w:val="30"/>
        </w:rPr>
      </w:pPr>
      <w:r>
        <w:rPr>
          <w:rFonts w:cs="Times New Roman"/>
          <w:color w:val="auto"/>
        </w:rPr>
        <w:br w:type="page"/>
      </w:r>
      <w:r>
        <w:rPr>
          <w:rFonts w:hint="eastAsia" w:ascii="黑体" w:hAnsi="黑体" w:eastAsia="黑体" w:cs="黑体"/>
          <w:b/>
          <w:bCs/>
          <w:color w:val="auto"/>
          <w:sz w:val="30"/>
          <w:szCs w:val="30"/>
        </w:rPr>
        <w:t>一、投标函</w:t>
      </w:r>
    </w:p>
    <w:p>
      <w:pPr>
        <w:autoSpaceDE w:val="0"/>
        <w:autoSpaceDN w:val="0"/>
        <w:snapToGrid w:val="0"/>
        <w:jc w:val="left"/>
        <w:rPr>
          <w:rFonts w:cs="Times New Roman"/>
          <w:color w:val="auto"/>
          <w:u w:val="single"/>
        </w:rPr>
      </w:pPr>
    </w:p>
    <w:p>
      <w:pPr>
        <w:autoSpaceDE w:val="0"/>
        <w:autoSpaceDN w:val="0"/>
        <w:snapToGrid w:val="0"/>
        <w:spacing w:line="312" w:lineRule="auto"/>
        <w:jc w:val="left"/>
        <w:rPr>
          <w:rFonts w:ascii="Times New Roman" w:hAnsi="Times New Roman" w:cs="Times New Roman"/>
          <w:color w:val="auto"/>
          <w:sz w:val="24"/>
          <w:szCs w:val="24"/>
        </w:rPr>
      </w:pPr>
      <w:r>
        <w:rPr>
          <w:rFonts w:hint="eastAsia" w:ascii="Times New Roman" w:hAnsi="Times New Roman" w:cs="宋体"/>
          <w:color w:val="auto"/>
          <w:sz w:val="24"/>
          <w:szCs w:val="24"/>
        </w:rPr>
        <w:t>（招标人名称）：</w:t>
      </w:r>
    </w:p>
    <w:p>
      <w:pPr>
        <w:autoSpaceDE w:val="0"/>
        <w:autoSpaceDN w:val="0"/>
        <w:snapToGrid w:val="0"/>
        <w:spacing w:line="312" w:lineRule="auto"/>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1.</w:t>
      </w:r>
      <w:r>
        <w:rPr>
          <w:rFonts w:hint="eastAsia" w:ascii="Times New Roman" w:hAnsi="Times New Roman" w:cs="宋体"/>
          <w:color w:val="auto"/>
          <w:sz w:val="24"/>
          <w:szCs w:val="24"/>
        </w:rPr>
        <w:t>我方己仔细研究</w:t>
      </w:r>
      <w:r>
        <w:rPr>
          <w:rFonts w:ascii="Times New Roman" w:hAnsi="Times New Roman" w:cs="Times New Roman"/>
          <w:color w:val="auto"/>
          <w:sz w:val="24"/>
          <w:szCs w:val="24"/>
        </w:rPr>
        <w:t>(</w:t>
      </w:r>
      <w:r>
        <w:rPr>
          <w:rFonts w:hint="eastAsia" w:ascii="Times New Roman" w:hAnsi="Times New Roman" w:cs="宋体"/>
          <w:color w:val="auto"/>
          <w:sz w:val="24"/>
          <w:szCs w:val="24"/>
        </w:rPr>
        <w:t>项目名称）标段勘察招标文件的全部内容（含补遗书第号至第号），在考察工程现场后，愿意以第二个信封（报价文件）中的投标总报价（或根据招标文件规定修正核实后确定的另一金额</w:t>
      </w:r>
      <w:r>
        <w:rPr>
          <w:rFonts w:ascii="Times New Roman" w:hAnsi="Times New Roman" w:cs="Times New Roman"/>
          <w:color w:val="auto"/>
          <w:sz w:val="24"/>
          <w:szCs w:val="24"/>
        </w:rPr>
        <w:t>)</w:t>
      </w:r>
      <w:r>
        <w:rPr>
          <w:rFonts w:hint="eastAsia" w:ascii="Times New Roman" w:hAnsi="Times New Roman" w:cs="宋体"/>
          <w:color w:val="auto"/>
          <w:sz w:val="24"/>
          <w:szCs w:val="24"/>
        </w:rPr>
        <w:t>，按合同约定完成勘察工作。</w:t>
      </w:r>
    </w:p>
    <w:p>
      <w:pPr>
        <w:autoSpaceDE w:val="0"/>
        <w:autoSpaceDN w:val="0"/>
        <w:snapToGrid w:val="0"/>
        <w:spacing w:line="312" w:lineRule="auto"/>
        <w:ind w:firstLine="480" w:firstLineChars="200"/>
        <w:jc w:val="left"/>
        <w:rPr>
          <w:rFonts w:ascii="Times New Roman" w:hAnsi="Times New Roman" w:cs="Times New Roman"/>
          <w:color w:val="auto"/>
          <w:sz w:val="24"/>
          <w:szCs w:val="24"/>
        </w:rPr>
      </w:pPr>
      <w:r>
        <w:rPr>
          <w:rFonts w:ascii="Times New Roman" w:hAnsi="Times New Roman" w:cs="Times New Roman"/>
          <w:color w:val="auto"/>
          <w:sz w:val="24"/>
          <w:szCs w:val="24"/>
        </w:rPr>
        <w:t>2.</w:t>
      </w:r>
      <w:r>
        <w:rPr>
          <w:rFonts w:hint="eastAsia" w:ascii="Times New Roman" w:hAnsi="Times New Roman" w:cs="宋体"/>
          <w:color w:val="auto"/>
          <w:sz w:val="24"/>
          <w:szCs w:val="24"/>
        </w:rPr>
        <w:t>我方承诺在招标文件规定的投标有效期内不撤销投标文件。</w:t>
      </w:r>
    </w:p>
    <w:p>
      <w:pPr>
        <w:autoSpaceDE w:val="0"/>
        <w:autoSpaceDN w:val="0"/>
        <w:snapToGrid w:val="0"/>
        <w:spacing w:line="312" w:lineRule="auto"/>
        <w:ind w:firstLine="480" w:firstLineChars="200"/>
        <w:jc w:val="left"/>
        <w:rPr>
          <w:rFonts w:ascii="Times New Roman" w:hAnsi="Times New Roman" w:cs="Times New Roman"/>
          <w:color w:val="auto"/>
          <w:sz w:val="24"/>
          <w:szCs w:val="24"/>
        </w:rPr>
      </w:pPr>
      <w:r>
        <w:rPr>
          <w:rFonts w:ascii="Times New Roman" w:hAnsi="Times New Roman" w:cs="Times New Roman"/>
          <w:color w:val="auto"/>
          <w:sz w:val="24"/>
          <w:szCs w:val="24"/>
        </w:rPr>
        <w:t>3.</w:t>
      </w:r>
      <w:r>
        <w:rPr>
          <w:rFonts w:hint="eastAsia" w:ascii="Times New Roman" w:hAnsi="Times New Roman" w:cs="宋体"/>
          <w:color w:val="auto"/>
          <w:sz w:val="24"/>
          <w:szCs w:val="24"/>
        </w:rPr>
        <w:t>项目负责人姓名：，年龄：，职称：。</w:t>
      </w:r>
    </w:p>
    <w:p>
      <w:pPr>
        <w:autoSpaceDE w:val="0"/>
        <w:autoSpaceDN w:val="0"/>
        <w:snapToGrid w:val="0"/>
        <w:spacing w:line="312" w:lineRule="auto"/>
        <w:ind w:firstLine="480" w:firstLineChars="200"/>
        <w:jc w:val="left"/>
        <w:rPr>
          <w:rFonts w:ascii="Times New Roman" w:hAnsi="Times New Roman" w:cs="Times New Roman"/>
          <w:color w:val="auto"/>
          <w:sz w:val="24"/>
          <w:szCs w:val="24"/>
        </w:rPr>
      </w:pPr>
      <w:r>
        <w:rPr>
          <w:rFonts w:ascii="Times New Roman" w:hAnsi="Times New Roman" w:cs="Times New Roman"/>
          <w:color w:val="auto"/>
          <w:sz w:val="24"/>
          <w:szCs w:val="24"/>
        </w:rPr>
        <w:t>4.</w:t>
      </w:r>
      <w:r>
        <w:rPr>
          <w:rFonts w:hint="eastAsia" w:ascii="Times New Roman" w:hAnsi="Times New Roman" w:cs="宋体"/>
          <w:color w:val="auto"/>
          <w:sz w:val="24"/>
          <w:szCs w:val="24"/>
        </w:rPr>
        <w:t>质量要求：，安全目标：，勘察服务期限：。</w:t>
      </w:r>
    </w:p>
    <w:p>
      <w:pPr>
        <w:autoSpaceDE w:val="0"/>
        <w:autoSpaceDN w:val="0"/>
        <w:snapToGrid w:val="0"/>
        <w:spacing w:line="312" w:lineRule="auto"/>
        <w:ind w:firstLine="480" w:firstLineChars="200"/>
        <w:jc w:val="left"/>
        <w:rPr>
          <w:rFonts w:ascii="Times New Roman" w:hAnsi="Times New Roman" w:cs="Times New Roman"/>
          <w:color w:val="auto"/>
          <w:sz w:val="24"/>
          <w:szCs w:val="24"/>
        </w:rPr>
      </w:pPr>
      <w:r>
        <w:rPr>
          <w:rFonts w:ascii="Times New Roman" w:hAnsi="Times New Roman" w:cs="Times New Roman"/>
          <w:color w:val="auto"/>
          <w:sz w:val="24"/>
          <w:szCs w:val="24"/>
        </w:rPr>
        <w:t>5.</w:t>
      </w:r>
      <w:r>
        <w:rPr>
          <w:rFonts w:hint="eastAsia" w:ascii="Times New Roman" w:hAnsi="Times New Roman" w:cs="宋体"/>
          <w:color w:val="auto"/>
          <w:sz w:val="24"/>
          <w:szCs w:val="24"/>
        </w:rPr>
        <w:t>如我方中标，我方承诺：</w:t>
      </w:r>
    </w:p>
    <w:p>
      <w:pPr>
        <w:autoSpaceDE w:val="0"/>
        <w:autoSpaceDN w:val="0"/>
        <w:snapToGrid w:val="0"/>
        <w:spacing w:line="312" w:lineRule="auto"/>
        <w:ind w:firstLine="480" w:firstLineChars="200"/>
        <w:jc w:val="left"/>
        <w:rPr>
          <w:rFonts w:ascii="Times New Roman" w:hAnsi="Times New Roman" w:cs="Times New Roman"/>
          <w:color w:val="auto"/>
          <w:sz w:val="24"/>
          <w:szCs w:val="24"/>
        </w:rPr>
      </w:pPr>
      <w:r>
        <w:rPr>
          <w:rFonts w:hint="eastAsia" w:ascii="Times New Roman" w:hAnsi="Times New Roman" w:cs="宋体"/>
          <w:color w:val="auto"/>
          <w:sz w:val="24"/>
          <w:szCs w:val="24"/>
        </w:rPr>
        <w:t>（</w:t>
      </w:r>
      <w:r>
        <w:rPr>
          <w:rFonts w:ascii="Times New Roman" w:hAnsi="Times New Roman" w:cs="Times New Roman"/>
          <w:color w:val="auto"/>
          <w:sz w:val="24"/>
          <w:szCs w:val="24"/>
        </w:rPr>
        <w:t>1</w:t>
      </w:r>
      <w:r>
        <w:rPr>
          <w:rFonts w:hint="eastAsia" w:ascii="Times New Roman" w:hAnsi="Times New Roman" w:cs="宋体"/>
          <w:color w:val="auto"/>
          <w:sz w:val="24"/>
          <w:szCs w:val="24"/>
        </w:rPr>
        <w:t>）在收到中标通知书后，在中标通知书规定的期限内与你方签订合同；</w:t>
      </w:r>
    </w:p>
    <w:p>
      <w:pPr>
        <w:autoSpaceDE w:val="0"/>
        <w:autoSpaceDN w:val="0"/>
        <w:snapToGrid w:val="0"/>
        <w:spacing w:line="312" w:lineRule="auto"/>
        <w:ind w:firstLine="480" w:firstLineChars="200"/>
        <w:jc w:val="left"/>
        <w:rPr>
          <w:rFonts w:ascii="Times New Roman" w:hAnsi="Times New Roman" w:cs="Times New Roman"/>
          <w:color w:val="auto"/>
          <w:sz w:val="24"/>
          <w:szCs w:val="24"/>
        </w:rPr>
      </w:pPr>
      <w:r>
        <w:rPr>
          <w:rFonts w:hint="eastAsia" w:ascii="Times New Roman" w:hAnsi="Times New Roman" w:cs="宋体"/>
          <w:color w:val="auto"/>
          <w:sz w:val="24"/>
          <w:szCs w:val="24"/>
        </w:rPr>
        <w:t>（</w:t>
      </w:r>
      <w:r>
        <w:rPr>
          <w:rFonts w:ascii="Times New Roman" w:hAnsi="Times New Roman" w:cs="Times New Roman"/>
          <w:color w:val="auto"/>
          <w:sz w:val="24"/>
          <w:szCs w:val="24"/>
        </w:rPr>
        <w:t>2</w:t>
      </w:r>
      <w:r>
        <w:rPr>
          <w:rFonts w:hint="eastAsia" w:ascii="Times New Roman" w:hAnsi="Times New Roman" w:cs="宋体"/>
          <w:color w:val="auto"/>
          <w:sz w:val="24"/>
          <w:szCs w:val="24"/>
        </w:rPr>
        <w:t>）在签订合同时不向你方提出附加条件；</w:t>
      </w:r>
    </w:p>
    <w:p>
      <w:pPr>
        <w:autoSpaceDE w:val="0"/>
        <w:autoSpaceDN w:val="0"/>
        <w:snapToGrid w:val="0"/>
        <w:spacing w:line="312" w:lineRule="auto"/>
        <w:ind w:firstLine="480" w:firstLineChars="200"/>
        <w:jc w:val="left"/>
        <w:rPr>
          <w:rFonts w:ascii="Times New Roman" w:hAnsi="Times New Roman" w:cs="Times New Roman"/>
          <w:color w:val="auto"/>
          <w:sz w:val="24"/>
          <w:szCs w:val="24"/>
        </w:rPr>
      </w:pPr>
      <w:r>
        <w:rPr>
          <w:rFonts w:hint="eastAsia" w:ascii="Times New Roman" w:hAnsi="Times New Roman" w:cs="宋体"/>
          <w:color w:val="auto"/>
          <w:sz w:val="24"/>
          <w:szCs w:val="24"/>
        </w:rPr>
        <w:t>（</w:t>
      </w:r>
      <w:r>
        <w:rPr>
          <w:rFonts w:ascii="Times New Roman" w:hAnsi="Times New Roman" w:cs="Times New Roman"/>
          <w:color w:val="auto"/>
          <w:sz w:val="24"/>
          <w:szCs w:val="24"/>
        </w:rPr>
        <w:t>3</w:t>
      </w:r>
      <w:r>
        <w:rPr>
          <w:rFonts w:hint="eastAsia" w:ascii="Times New Roman" w:hAnsi="Times New Roman" w:cs="宋体"/>
          <w:color w:val="auto"/>
          <w:sz w:val="24"/>
          <w:szCs w:val="24"/>
        </w:rPr>
        <w:t>）按照招标文件要求提交履约保证金；</w:t>
      </w:r>
    </w:p>
    <w:p>
      <w:pPr>
        <w:autoSpaceDE w:val="0"/>
        <w:autoSpaceDN w:val="0"/>
        <w:snapToGrid w:val="0"/>
        <w:spacing w:line="312" w:lineRule="auto"/>
        <w:ind w:firstLine="480" w:firstLineChars="200"/>
        <w:jc w:val="left"/>
        <w:rPr>
          <w:rFonts w:ascii="Times New Roman" w:hAnsi="Times New Roman" w:cs="Times New Roman"/>
          <w:color w:val="auto"/>
          <w:sz w:val="24"/>
          <w:szCs w:val="24"/>
        </w:rPr>
      </w:pPr>
      <w:r>
        <w:rPr>
          <w:rFonts w:hint="eastAsia" w:ascii="Times New Roman" w:hAnsi="Times New Roman" w:cs="宋体"/>
          <w:color w:val="auto"/>
          <w:sz w:val="24"/>
          <w:szCs w:val="24"/>
        </w:rPr>
        <w:t>（</w:t>
      </w:r>
      <w:r>
        <w:rPr>
          <w:rFonts w:ascii="Times New Roman" w:hAnsi="Times New Roman" w:cs="Times New Roman"/>
          <w:color w:val="auto"/>
          <w:sz w:val="24"/>
          <w:szCs w:val="24"/>
        </w:rPr>
        <w:t>4</w:t>
      </w:r>
      <w:r>
        <w:rPr>
          <w:rFonts w:hint="eastAsia" w:ascii="Times New Roman" w:hAnsi="Times New Roman" w:cs="宋体"/>
          <w:color w:val="auto"/>
          <w:sz w:val="24"/>
          <w:szCs w:val="24"/>
        </w:rPr>
        <w:t>）在合同约定的期限内完成合同规定的全部义务；</w:t>
      </w:r>
    </w:p>
    <w:p>
      <w:pPr>
        <w:autoSpaceDE w:val="0"/>
        <w:autoSpaceDN w:val="0"/>
        <w:snapToGrid w:val="0"/>
        <w:spacing w:line="312" w:lineRule="auto"/>
        <w:ind w:firstLine="480" w:firstLineChars="200"/>
        <w:jc w:val="left"/>
        <w:rPr>
          <w:rFonts w:ascii="Times New Roman" w:hAnsi="Times New Roman" w:cs="Times New Roman"/>
          <w:color w:val="auto"/>
          <w:sz w:val="24"/>
          <w:szCs w:val="24"/>
        </w:rPr>
      </w:pPr>
      <w:r>
        <w:rPr>
          <w:rFonts w:hint="eastAsia" w:ascii="Times New Roman" w:hAnsi="Times New Roman" w:cs="宋体"/>
          <w:color w:val="auto"/>
          <w:sz w:val="24"/>
          <w:szCs w:val="24"/>
        </w:rPr>
        <w:t>（</w:t>
      </w:r>
      <w:r>
        <w:rPr>
          <w:rFonts w:ascii="Times New Roman" w:hAnsi="Times New Roman" w:cs="Times New Roman"/>
          <w:color w:val="auto"/>
          <w:sz w:val="24"/>
          <w:szCs w:val="24"/>
        </w:rPr>
        <w:t>5</w:t>
      </w:r>
      <w:r>
        <w:rPr>
          <w:rFonts w:hint="eastAsia" w:ascii="Times New Roman" w:hAnsi="Times New Roman" w:cs="宋体"/>
          <w:color w:val="auto"/>
          <w:sz w:val="24"/>
          <w:szCs w:val="24"/>
        </w:rPr>
        <w:t>）在你方和我方进行合同谈判之前，我方将按照合同附件提出的最低要求填报派驻本标段的分项负责人，经你方审批后作为派驻本标段的设计主要人员且不进行更换。如我方拟派驻的人员不满足合同附件要求，你方有权取消我方中标资格。</w:t>
      </w:r>
    </w:p>
    <w:p>
      <w:pPr>
        <w:autoSpaceDE w:val="0"/>
        <w:autoSpaceDN w:val="0"/>
        <w:snapToGrid w:val="0"/>
        <w:spacing w:line="312" w:lineRule="auto"/>
        <w:ind w:firstLine="480" w:firstLineChars="200"/>
        <w:jc w:val="left"/>
        <w:rPr>
          <w:rFonts w:ascii="Times New Roman" w:hAnsi="Times New Roman" w:cs="Times New Roman"/>
          <w:color w:val="auto"/>
          <w:sz w:val="24"/>
          <w:szCs w:val="24"/>
        </w:rPr>
      </w:pPr>
      <w:r>
        <w:rPr>
          <w:rFonts w:ascii="Times New Roman" w:hAnsi="Times New Roman" w:cs="Times New Roman"/>
          <w:color w:val="auto"/>
          <w:sz w:val="24"/>
          <w:szCs w:val="24"/>
        </w:rPr>
        <w:t>6.</w:t>
      </w:r>
      <w:r>
        <w:rPr>
          <w:rFonts w:hint="eastAsia" w:ascii="Times New Roman" w:hAnsi="Times New Roman" w:cs="宋体"/>
          <w:color w:val="auto"/>
          <w:sz w:val="24"/>
          <w:szCs w:val="24"/>
        </w:rPr>
        <w:t>我方在此声明，所递交的投标文件及有关资料内容完整、真实和准确，且不存在招标文件第二章“投标人须知”第</w:t>
      </w:r>
      <w:r>
        <w:rPr>
          <w:rFonts w:ascii="Times New Roman" w:hAnsi="Times New Roman" w:cs="Times New Roman"/>
          <w:color w:val="auto"/>
          <w:sz w:val="24"/>
          <w:szCs w:val="24"/>
        </w:rPr>
        <w:t>1.4.3</w:t>
      </w:r>
      <w:r>
        <w:rPr>
          <w:rFonts w:hint="eastAsia" w:ascii="Times New Roman" w:hAnsi="Times New Roman" w:cs="宋体"/>
          <w:color w:val="auto"/>
          <w:sz w:val="24"/>
          <w:szCs w:val="24"/>
        </w:rPr>
        <w:t>项和第</w:t>
      </w:r>
      <w:r>
        <w:rPr>
          <w:rFonts w:ascii="Times New Roman" w:hAnsi="Times New Roman" w:cs="Times New Roman"/>
          <w:color w:val="auto"/>
          <w:sz w:val="24"/>
          <w:szCs w:val="24"/>
        </w:rPr>
        <w:t>1.4.4</w:t>
      </w:r>
      <w:r>
        <w:rPr>
          <w:rFonts w:hint="eastAsia" w:ascii="Times New Roman" w:hAnsi="Times New Roman" w:cs="宋体"/>
          <w:color w:val="auto"/>
          <w:sz w:val="24"/>
          <w:szCs w:val="24"/>
        </w:rPr>
        <w:t>项规定的任何一种情形。</w:t>
      </w:r>
    </w:p>
    <w:p>
      <w:pPr>
        <w:autoSpaceDE w:val="0"/>
        <w:autoSpaceDN w:val="0"/>
        <w:snapToGrid w:val="0"/>
        <w:spacing w:line="312" w:lineRule="auto"/>
        <w:ind w:firstLine="480" w:firstLineChars="200"/>
        <w:jc w:val="left"/>
        <w:rPr>
          <w:rFonts w:ascii="Times New Roman" w:hAnsi="Times New Roman" w:cs="Times New Roman"/>
          <w:color w:val="auto"/>
          <w:sz w:val="24"/>
          <w:szCs w:val="24"/>
        </w:rPr>
      </w:pPr>
      <w:r>
        <w:rPr>
          <w:rFonts w:ascii="Times New Roman" w:hAnsi="Times New Roman" w:cs="Times New Roman"/>
          <w:color w:val="auto"/>
          <w:sz w:val="24"/>
          <w:szCs w:val="24"/>
        </w:rPr>
        <w:t>7.</w:t>
      </w:r>
      <w:r>
        <w:rPr>
          <w:rFonts w:hint="eastAsia" w:ascii="Times New Roman" w:hAnsi="Times New Roman" w:cs="宋体"/>
          <w:color w:val="auto"/>
          <w:sz w:val="24"/>
          <w:szCs w:val="24"/>
        </w:rPr>
        <w:t>在合同协议书正式签署生效之前，本投标函连同你方的中标通知书将构成我们双方之间共同遵守的文件，对双方具有约束力。</w:t>
      </w:r>
    </w:p>
    <w:p>
      <w:pPr>
        <w:autoSpaceDE w:val="0"/>
        <w:autoSpaceDN w:val="0"/>
        <w:snapToGrid w:val="0"/>
        <w:spacing w:line="312" w:lineRule="auto"/>
        <w:ind w:firstLine="480" w:firstLineChars="200"/>
        <w:jc w:val="left"/>
        <w:rPr>
          <w:rFonts w:cs="Times New Roman"/>
          <w:color w:val="auto"/>
          <w:sz w:val="24"/>
          <w:szCs w:val="24"/>
        </w:rPr>
      </w:pPr>
      <w:r>
        <w:rPr>
          <w:color w:val="auto"/>
          <w:sz w:val="24"/>
          <w:szCs w:val="24"/>
        </w:rPr>
        <w:t xml:space="preserve">8. </w:t>
      </w:r>
      <w:r>
        <w:rPr>
          <w:rFonts w:hint="eastAsia" w:cs="宋体"/>
          <w:color w:val="auto"/>
          <w:sz w:val="24"/>
          <w:szCs w:val="24"/>
          <w:u w:val="single"/>
        </w:rPr>
        <w:t>投标人声明近三年内投标人及其法定代表人、拟委任的项目负责人无行贿犯罪行为</w:t>
      </w:r>
      <w:r>
        <w:rPr>
          <w:rFonts w:hint="eastAsia" w:cs="宋体"/>
          <w:color w:val="auto"/>
          <w:sz w:val="24"/>
          <w:szCs w:val="24"/>
        </w:rPr>
        <w:t>（其他补充说明）。</w:t>
      </w:r>
    </w:p>
    <w:p>
      <w:pPr>
        <w:autoSpaceDE w:val="0"/>
        <w:autoSpaceDN w:val="0"/>
        <w:snapToGrid w:val="0"/>
        <w:spacing w:line="312" w:lineRule="auto"/>
        <w:jc w:val="right"/>
        <w:rPr>
          <w:rFonts w:cs="Times New Roman"/>
          <w:color w:val="auto"/>
        </w:rPr>
      </w:pPr>
    </w:p>
    <w:p>
      <w:pPr>
        <w:autoSpaceDE w:val="0"/>
        <w:autoSpaceDN w:val="0"/>
        <w:snapToGrid w:val="0"/>
        <w:spacing w:line="312" w:lineRule="auto"/>
        <w:ind w:right="-73" w:firstLine="3240"/>
        <w:rPr>
          <w:color w:val="auto"/>
          <w:sz w:val="24"/>
          <w:szCs w:val="24"/>
        </w:rPr>
      </w:pPr>
      <w:r>
        <w:rPr>
          <w:rFonts w:hint="eastAsia" w:cs="宋体"/>
          <w:color w:val="auto"/>
          <w:sz w:val="24"/>
          <w:szCs w:val="24"/>
        </w:rPr>
        <w:t>投标人：</w:t>
      </w:r>
      <w:r>
        <w:rPr>
          <w:color w:val="auto"/>
          <w:sz w:val="24"/>
          <w:szCs w:val="24"/>
        </w:rPr>
        <w:t xml:space="preserve"> (</w:t>
      </w:r>
      <w:r>
        <w:rPr>
          <w:rFonts w:hint="eastAsia" w:cs="宋体"/>
          <w:color w:val="auto"/>
          <w:sz w:val="24"/>
          <w:szCs w:val="24"/>
        </w:rPr>
        <w:t>盖单位章</w:t>
      </w:r>
      <w:r>
        <w:rPr>
          <w:color w:val="auto"/>
          <w:sz w:val="24"/>
          <w:szCs w:val="24"/>
        </w:rPr>
        <w:t xml:space="preserve">) </w:t>
      </w:r>
    </w:p>
    <w:p>
      <w:pPr>
        <w:autoSpaceDE w:val="0"/>
        <w:autoSpaceDN w:val="0"/>
        <w:snapToGrid w:val="0"/>
        <w:spacing w:line="312" w:lineRule="auto"/>
        <w:ind w:firstLine="3240"/>
        <w:rPr>
          <w:color w:val="auto"/>
          <w:sz w:val="24"/>
          <w:szCs w:val="24"/>
        </w:rPr>
      </w:pPr>
      <w:r>
        <w:rPr>
          <w:rFonts w:hint="eastAsia" w:cs="宋体"/>
          <w:color w:val="auto"/>
          <w:sz w:val="24"/>
          <w:szCs w:val="24"/>
        </w:rPr>
        <w:t>法定代表人或其委托代理人：</w:t>
      </w:r>
      <w:r>
        <w:rPr>
          <w:color w:val="auto"/>
          <w:sz w:val="24"/>
          <w:szCs w:val="24"/>
        </w:rPr>
        <w:t>(</w:t>
      </w:r>
      <w:r>
        <w:rPr>
          <w:rFonts w:hint="eastAsia" w:cs="宋体"/>
          <w:color w:val="auto"/>
          <w:sz w:val="24"/>
          <w:szCs w:val="24"/>
        </w:rPr>
        <w:t>签字</w:t>
      </w:r>
      <w:r>
        <w:rPr>
          <w:color w:val="auto"/>
          <w:sz w:val="24"/>
          <w:szCs w:val="24"/>
        </w:rPr>
        <w:t>)</w:t>
      </w:r>
    </w:p>
    <w:p>
      <w:pPr>
        <w:autoSpaceDE w:val="0"/>
        <w:autoSpaceDN w:val="0"/>
        <w:snapToGrid w:val="0"/>
        <w:spacing w:line="312" w:lineRule="auto"/>
        <w:ind w:firstLine="3240"/>
        <w:rPr>
          <w:rFonts w:cs="Times New Roman"/>
          <w:color w:val="auto"/>
          <w:sz w:val="24"/>
          <w:szCs w:val="24"/>
        </w:rPr>
      </w:pPr>
      <w:r>
        <w:rPr>
          <w:rFonts w:hint="eastAsia" w:cs="宋体"/>
          <w:color w:val="auto"/>
          <w:sz w:val="24"/>
          <w:szCs w:val="24"/>
        </w:rPr>
        <w:t>地址：</w:t>
      </w:r>
      <w:r>
        <w:rPr>
          <w:color w:val="auto"/>
          <w:sz w:val="24"/>
          <w:szCs w:val="24"/>
          <w:u w:val="single"/>
        </w:rPr>
        <w:t xml:space="preserve">                                   .</w:t>
      </w:r>
    </w:p>
    <w:p>
      <w:pPr>
        <w:autoSpaceDE w:val="0"/>
        <w:autoSpaceDN w:val="0"/>
        <w:snapToGrid w:val="0"/>
        <w:spacing w:line="312" w:lineRule="auto"/>
        <w:ind w:firstLine="3240"/>
        <w:rPr>
          <w:rFonts w:cs="Times New Roman"/>
          <w:color w:val="auto"/>
          <w:sz w:val="24"/>
          <w:szCs w:val="24"/>
        </w:rPr>
      </w:pPr>
      <w:r>
        <w:rPr>
          <w:rFonts w:hint="eastAsia" w:cs="宋体"/>
          <w:color w:val="auto"/>
          <w:sz w:val="24"/>
          <w:szCs w:val="24"/>
        </w:rPr>
        <w:t>网址：</w:t>
      </w:r>
      <w:r>
        <w:rPr>
          <w:color w:val="auto"/>
          <w:sz w:val="24"/>
          <w:szCs w:val="24"/>
          <w:u w:val="single"/>
        </w:rPr>
        <w:t xml:space="preserve">                                   .</w:t>
      </w:r>
    </w:p>
    <w:p>
      <w:pPr>
        <w:autoSpaceDE w:val="0"/>
        <w:autoSpaceDN w:val="0"/>
        <w:snapToGrid w:val="0"/>
        <w:spacing w:line="312" w:lineRule="auto"/>
        <w:ind w:firstLine="3240"/>
        <w:rPr>
          <w:rFonts w:cs="Times New Roman"/>
          <w:color w:val="auto"/>
          <w:sz w:val="24"/>
          <w:szCs w:val="24"/>
        </w:rPr>
      </w:pPr>
      <w:r>
        <w:rPr>
          <w:rFonts w:hint="eastAsia" w:cs="宋体"/>
          <w:color w:val="auto"/>
          <w:sz w:val="24"/>
          <w:szCs w:val="24"/>
        </w:rPr>
        <w:t>电话：</w:t>
      </w:r>
      <w:r>
        <w:rPr>
          <w:color w:val="auto"/>
          <w:sz w:val="24"/>
          <w:szCs w:val="24"/>
          <w:u w:val="single"/>
        </w:rPr>
        <w:t xml:space="preserve">                                   .</w:t>
      </w:r>
    </w:p>
    <w:p>
      <w:pPr>
        <w:autoSpaceDE w:val="0"/>
        <w:autoSpaceDN w:val="0"/>
        <w:snapToGrid w:val="0"/>
        <w:spacing w:line="312" w:lineRule="auto"/>
        <w:ind w:firstLine="3240"/>
        <w:rPr>
          <w:rFonts w:cs="Times New Roman"/>
          <w:color w:val="auto"/>
          <w:sz w:val="24"/>
          <w:szCs w:val="24"/>
        </w:rPr>
      </w:pPr>
      <w:r>
        <w:rPr>
          <w:rFonts w:hint="eastAsia" w:cs="宋体"/>
          <w:color w:val="auto"/>
          <w:sz w:val="24"/>
          <w:szCs w:val="24"/>
        </w:rPr>
        <w:t>传真：</w:t>
      </w:r>
      <w:r>
        <w:rPr>
          <w:color w:val="auto"/>
          <w:sz w:val="24"/>
          <w:szCs w:val="24"/>
          <w:u w:val="single"/>
        </w:rPr>
        <w:t xml:space="preserve">                                   .</w:t>
      </w:r>
    </w:p>
    <w:p>
      <w:pPr>
        <w:autoSpaceDE w:val="0"/>
        <w:autoSpaceDN w:val="0"/>
        <w:snapToGrid w:val="0"/>
        <w:spacing w:line="312" w:lineRule="auto"/>
        <w:ind w:firstLine="3240"/>
        <w:rPr>
          <w:rFonts w:cs="Times New Roman"/>
          <w:color w:val="auto"/>
          <w:sz w:val="24"/>
          <w:szCs w:val="24"/>
        </w:rPr>
      </w:pPr>
      <w:r>
        <w:rPr>
          <w:rFonts w:hint="eastAsia" w:cs="宋体"/>
          <w:color w:val="auto"/>
          <w:sz w:val="24"/>
          <w:szCs w:val="24"/>
        </w:rPr>
        <w:t>邮政编码：</w:t>
      </w:r>
      <w:r>
        <w:rPr>
          <w:color w:val="auto"/>
          <w:sz w:val="24"/>
          <w:szCs w:val="24"/>
          <w:u w:val="single"/>
        </w:rPr>
        <w:t xml:space="preserve">                               .</w:t>
      </w:r>
    </w:p>
    <w:p>
      <w:pPr>
        <w:autoSpaceDE w:val="0"/>
        <w:autoSpaceDN w:val="0"/>
        <w:snapToGrid w:val="0"/>
        <w:spacing w:line="312" w:lineRule="auto"/>
        <w:ind w:firstLine="3240"/>
        <w:jc w:val="right"/>
        <w:rPr>
          <w:rFonts w:cs="Times New Roman"/>
          <w:color w:val="auto"/>
          <w:sz w:val="24"/>
          <w:szCs w:val="24"/>
        </w:rPr>
      </w:pPr>
      <w:r>
        <w:rPr>
          <w:rFonts w:hint="eastAsia" w:cs="宋体"/>
          <w:color w:val="auto"/>
          <w:sz w:val="24"/>
          <w:szCs w:val="24"/>
        </w:rPr>
        <w:t>年月日</w:t>
      </w:r>
    </w:p>
    <w:p>
      <w:pPr>
        <w:autoSpaceDE w:val="0"/>
        <w:autoSpaceDN w:val="0"/>
        <w:snapToGrid w:val="0"/>
        <w:spacing w:line="312" w:lineRule="auto"/>
        <w:jc w:val="center"/>
        <w:rPr>
          <w:rFonts w:cs="Times New Roman"/>
          <w:color w:val="auto"/>
        </w:rPr>
      </w:pPr>
      <w:r>
        <w:rPr>
          <w:rFonts w:hint="eastAsia" w:cs="宋体"/>
          <w:color w:val="auto"/>
        </w:rPr>
        <w:t>注：投标人仅须在投标函上加盖单位章，或由法定代表人或其委托代理人签字。</w:t>
      </w:r>
    </w:p>
    <w:p>
      <w:pPr>
        <w:autoSpaceDE w:val="0"/>
        <w:autoSpaceDN w:val="0"/>
        <w:snapToGrid w:val="0"/>
        <w:spacing w:line="360" w:lineRule="auto"/>
        <w:jc w:val="center"/>
        <w:rPr>
          <w:rFonts w:ascii="黑体" w:eastAsia="黑体" w:cs="Times New Roman"/>
          <w:b/>
          <w:bCs/>
          <w:color w:val="auto"/>
          <w:sz w:val="30"/>
          <w:szCs w:val="30"/>
        </w:rPr>
      </w:pPr>
      <w:r>
        <w:rPr>
          <w:rFonts w:cs="Times New Roman"/>
          <w:color w:val="auto"/>
        </w:rPr>
        <w:br w:type="page"/>
      </w:r>
      <w:r>
        <w:rPr>
          <w:rFonts w:hint="eastAsia" w:ascii="黑体" w:hAnsi="黑体" w:eastAsia="黑体" w:cs="黑体"/>
          <w:b/>
          <w:bCs/>
          <w:color w:val="auto"/>
          <w:sz w:val="30"/>
          <w:szCs w:val="30"/>
        </w:rPr>
        <w:t>二、授权委托书或法定代表人身份证明</w:t>
      </w:r>
    </w:p>
    <w:p>
      <w:pPr>
        <w:autoSpaceDE w:val="0"/>
        <w:autoSpaceDN w:val="0"/>
        <w:snapToGrid w:val="0"/>
        <w:jc w:val="center"/>
        <w:rPr>
          <w:rFonts w:ascii="黑体" w:eastAsia="黑体" w:cs="黑体"/>
          <w:b/>
          <w:bCs/>
          <w:color w:val="auto"/>
          <w:sz w:val="30"/>
          <w:szCs w:val="30"/>
        </w:rPr>
      </w:pPr>
    </w:p>
    <w:p>
      <w:pPr>
        <w:autoSpaceDE w:val="0"/>
        <w:autoSpaceDN w:val="0"/>
        <w:snapToGrid w:val="0"/>
        <w:spacing w:line="370" w:lineRule="exact"/>
        <w:ind w:right="-80"/>
        <w:jc w:val="center"/>
        <w:rPr>
          <w:rFonts w:ascii="黑体" w:eastAsia="黑体" w:cs="Times New Roman"/>
          <w:b/>
          <w:bCs/>
          <w:color w:val="auto"/>
          <w:sz w:val="28"/>
          <w:szCs w:val="28"/>
        </w:rPr>
      </w:pPr>
      <w:r>
        <w:rPr>
          <w:rFonts w:hint="eastAsia" w:ascii="黑体" w:hAnsi="黑体" w:eastAsia="黑体" w:cs="黑体"/>
          <w:b/>
          <w:bCs/>
          <w:color w:val="auto"/>
          <w:position w:val="-1"/>
          <w:sz w:val="28"/>
          <w:szCs w:val="28"/>
        </w:rPr>
        <w:t>（一）授权</w:t>
      </w:r>
      <w:r>
        <w:rPr>
          <w:rFonts w:hint="eastAsia" w:ascii="黑体" w:hAnsi="黑体" w:eastAsia="黑体" w:cs="黑体"/>
          <w:b/>
          <w:bCs/>
          <w:color w:val="auto"/>
          <w:spacing w:val="-3"/>
          <w:position w:val="-1"/>
          <w:sz w:val="28"/>
          <w:szCs w:val="28"/>
        </w:rPr>
        <w:t>委</w:t>
      </w:r>
      <w:r>
        <w:rPr>
          <w:rFonts w:hint="eastAsia" w:ascii="黑体" w:hAnsi="黑体" w:eastAsia="黑体" w:cs="黑体"/>
          <w:b/>
          <w:bCs/>
          <w:color w:val="auto"/>
          <w:position w:val="-1"/>
          <w:sz w:val="28"/>
          <w:szCs w:val="28"/>
        </w:rPr>
        <w:t>托</w:t>
      </w:r>
      <w:r>
        <w:rPr>
          <w:rFonts w:hint="eastAsia" w:ascii="黑体" w:hAnsi="黑体" w:eastAsia="黑体" w:cs="黑体"/>
          <w:b/>
          <w:bCs/>
          <w:color w:val="auto"/>
          <w:spacing w:val="-2"/>
          <w:position w:val="-1"/>
          <w:sz w:val="28"/>
          <w:szCs w:val="28"/>
        </w:rPr>
        <w:t>书</w:t>
      </w:r>
    </w:p>
    <w:p>
      <w:pPr>
        <w:autoSpaceDE w:val="0"/>
        <w:autoSpaceDN w:val="0"/>
        <w:snapToGrid w:val="0"/>
        <w:spacing w:line="100" w:lineRule="exact"/>
        <w:jc w:val="left"/>
        <w:rPr>
          <w:rFonts w:ascii="黑体" w:eastAsia="黑体" w:cs="黑体"/>
          <w:color w:val="auto"/>
          <w:sz w:val="10"/>
          <w:szCs w:val="10"/>
        </w:rPr>
      </w:pPr>
    </w:p>
    <w:p>
      <w:pPr>
        <w:autoSpaceDE w:val="0"/>
        <w:autoSpaceDN w:val="0"/>
        <w:snapToGrid w:val="0"/>
        <w:spacing w:line="200" w:lineRule="exact"/>
        <w:jc w:val="left"/>
        <w:rPr>
          <w:rFonts w:ascii="黑体" w:eastAsia="黑体" w:cs="黑体"/>
          <w:color w:val="auto"/>
          <w:sz w:val="20"/>
          <w:szCs w:val="20"/>
        </w:rPr>
      </w:pPr>
    </w:p>
    <w:p>
      <w:pPr>
        <w:autoSpaceDE w:val="0"/>
        <w:autoSpaceDN w:val="0"/>
        <w:snapToGrid w:val="0"/>
        <w:spacing w:line="200" w:lineRule="exact"/>
        <w:jc w:val="left"/>
        <w:rPr>
          <w:rFonts w:ascii="黑体" w:eastAsia="黑体" w:cs="黑体"/>
          <w:color w:val="auto"/>
          <w:sz w:val="20"/>
          <w:szCs w:val="20"/>
        </w:rPr>
      </w:pPr>
    </w:p>
    <w:p>
      <w:pPr>
        <w:autoSpaceDE w:val="0"/>
        <w:autoSpaceDN w:val="0"/>
        <w:snapToGrid w:val="0"/>
        <w:spacing w:line="360" w:lineRule="auto"/>
        <w:ind w:firstLine="480" w:firstLineChars="200"/>
        <w:jc w:val="left"/>
        <w:rPr>
          <w:rFonts w:ascii="Times New Roman" w:cs="Times New Roman"/>
          <w:color w:val="auto"/>
          <w:sz w:val="24"/>
          <w:szCs w:val="24"/>
        </w:rPr>
      </w:pPr>
      <w:r>
        <w:rPr>
          <w:rFonts w:hint="eastAsia" w:cs="宋体"/>
          <w:color w:val="auto"/>
          <w:sz w:val="24"/>
          <w:szCs w:val="24"/>
        </w:rPr>
        <w:t>本人</w:t>
      </w:r>
      <w:r>
        <w:rPr>
          <w:color w:val="auto"/>
          <w:sz w:val="24"/>
          <w:szCs w:val="24"/>
          <w:u w:val="single"/>
        </w:rPr>
        <w:tab/>
      </w:r>
      <w:r>
        <w:rPr>
          <w:rFonts w:hint="eastAsia" w:cs="宋体"/>
          <w:color w:val="auto"/>
          <w:spacing w:val="-1"/>
          <w:sz w:val="24"/>
          <w:szCs w:val="24"/>
        </w:rPr>
        <w:t>（</w:t>
      </w:r>
      <w:r>
        <w:rPr>
          <w:rFonts w:hint="eastAsia" w:cs="宋体"/>
          <w:color w:val="auto"/>
          <w:sz w:val="24"/>
          <w:szCs w:val="24"/>
        </w:rPr>
        <w:t>姓</w:t>
      </w:r>
      <w:r>
        <w:rPr>
          <w:rFonts w:hint="eastAsia" w:cs="宋体"/>
          <w:color w:val="auto"/>
          <w:spacing w:val="1"/>
          <w:sz w:val="24"/>
          <w:szCs w:val="24"/>
        </w:rPr>
        <w:t>名</w:t>
      </w:r>
      <w:r>
        <w:rPr>
          <w:rFonts w:hint="eastAsia" w:cs="宋体"/>
          <w:color w:val="auto"/>
          <w:spacing w:val="-1"/>
          <w:sz w:val="24"/>
          <w:szCs w:val="24"/>
        </w:rPr>
        <w:t>）</w:t>
      </w:r>
      <w:r>
        <w:rPr>
          <w:rFonts w:hint="eastAsia" w:cs="宋体"/>
          <w:color w:val="auto"/>
          <w:sz w:val="24"/>
          <w:szCs w:val="24"/>
        </w:rPr>
        <w:t>系</w:t>
      </w:r>
      <w:r>
        <w:rPr>
          <w:color w:val="auto"/>
          <w:sz w:val="24"/>
          <w:szCs w:val="24"/>
          <w:u w:val="single"/>
        </w:rPr>
        <w:tab/>
      </w:r>
      <w:r>
        <w:rPr>
          <w:rFonts w:hint="eastAsia" w:cs="宋体"/>
          <w:color w:val="auto"/>
          <w:spacing w:val="-1"/>
          <w:sz w:val="24"/>
          <w:szCs w:val="24"/>
        </w:rPr>
        <w:t>（</w:t>
      </w:r>
      <w:r>
        <w:rPr>
          <w:rFonts w:hint="eastAsia" w:cs="宋体"/>
          <w:color w:val="auto"/>
          <w:sz w:val="24"/>
          <w:szCs w:val="24"/>
        </w:rPr>
        <w:t>投标人名称</w:t>
      </w:r>
      <w:r>
        <w:rPr>
          <w:rFonts w:hint="eastAsia" w:cs="宋体"/>
          <w:color w:val="auto"/>
          <w:spacing w:val="-1"/>
          <w:sz w:val="24"/>
          <w:szCs w:val="24"/>
        </w:rPr>
        <w:t>）</w:t>
      </w:r>
      <w:r>
        <w:rPr>
          <w:rFonts w:hint="eastAsia" w:cs="宋体"/>
          <w:color w:val="auto"/>
          <w:sz w:val="24"/>
          <w:szCs w:val="24"/>
        </w:rPr>
        <w:t>的</w:t>
      </w:r>
      <w:r>
        <w:rPr>
          <w:rFonts w:hint="eastAsia" w:cs="宋体"/>
          <w:color w:val="auto"/>
          <w:spacing w:val="2"/>
          <w:sz w:val="24"/>
          <w:szCs w:val="24"/>
        </w:rPr>
        <w:t>法</w:t>
      </w:r>
      <w:r>
        <w:rPr>
          <w:rFonts w:hint="eastAsia" w:cs="宋体"/>
          <w:color w:val="auto"/>
          <w:sz w:val="24"/>
          <w:szCs w:val="24"/>
        </w:rPr>
        <w:t>定代表人，现委</w:t>
      </w:r>
      <w:r>
        <w:rPr>
          <w:rFonts w:hint="eastAsia" w:cs="宋体"/>
          <w:color w:val="auto"/>
          <w:spacing w:val="1"/>
          <w:sz w:val="24"/>
          <w:szCs w:val="24"/>
        </w:rPr>
        <w:t>托</w:t>
      </w:r>
      <w:r>
        <w:rPr>
          <w:rFonts w:hint="eastAsia" w:cs="宋体"/>
          <w:color w:val="auto"/>
          <w:spacing w:val="-1"/>
          <w:sz w:val="24"/>
          <w:szCs w:val="24"/>
        </w:rPr>
        <w:t>（</w:t>
      </w:r>
      <w:r>
        <w:rPr>
          <w:rFonts w:hint="eastAsia" w:cs="宋体"/>
          <w:color w:val="auto"/>
          <w:sz w:val="24"/>
          <w:szCs w:val="24"/>
        </w:rPr>
        <w:t>姓名</w:t>
      </w:r>
      <w:r>
        <w:rPr>
          <w:rFonts w:hint="eastAsia" w:cs="宋体"/>
          <w:color w:val="auto"/>
          <w:spacing w:val="-1"/>
          <w:sz w:val="24"/>
          <w:szCs w:val="24"/>
        </w:rPr>
        <w:t>）</w:t>
      </w:r>
      <w:r>
        <w:rPr>
          <w:rFonts w:hint="eastAsia" w:cs="宋体"/>
          <w:color w:val="auto"/>
          <w:sz w:val="24"/>
          <w:szCs w:val="24"/>
        </w:rPr>
        <w:t>为我方代理人</w:t>
      </w:r>
      <w:r>
        <w:rPr>
          <w:rFonts w:hint="eastAsia" w:cs="宋体"/>
          <w:color w:val="auto"/>
          <w:spacing w:val="-7"/>
          <w:sz w:val="24"/>
          <w:szCs w:val="24"/>
        </w:rPr>
        <w:t>。</w:t>
      </w:r>
      <w:r>
        <w:rPr>
          <w:rFonts w:hint="eastAsia" w:cs="宋体"/>
          <w:color w:val="auto"/>
          <w:spacing w:val="2"/>
          <w:sz w:val="24"/>
          <w:szCs w:val="24"/>
        </w:rPr>
        <w:t>代</w:t>
      </w:r>
      <w:r>
        <w:rPr>
          <w:rFonts w:hint="eastAsia" w:cs="宋体"/>
          <w:color w:val="auto"/>
          <w:sz w:val="24"/>
          <w:szCs w:val="24"/>
        </w:rPr>
        <w:t>理人根据授权</w:t>
      </w:r>
      <w:r>
        <w:rPr>
          <w:rFonts w:hint="eastAsia" w:cs="宋体"/>
          <w:color w:val="auto"/>
          <w:spacing w:val="-7"/>
          <w:sz w:val="24"/>
          <w:szCs w:val="24"/>
        </w:rPr>
        <w:t>，</w:t>
      </w:r>
      <w:r>
        <w:rPr>
          <w:rFonts w:hint="eastAsia" w:cs="宋体"/>
          <w:color w:val="auto"/>
          <w:sz w:val="24"/>
          <w:szCs w:val="24"/>
        </w:rPr>
        <w:t>以我方名义签署</w:t>
      </w:r>
      <w:r>
        <w:rPr>
          <w:rFonts w:hint="eastAsia" w:cs="宋体"/>
          <w:color w:val="auto"/>
          <w:spacing w:val="-7"/>
          <w:sz w:val="24"/>
          <w:szCs w:val="24"/>
        </w:rPr>
        <w:t>、</w:t>
      </w:r>
      <w:r>
        <w:rPr>
          <w:rFonts w:hint="eastAsia" w:cs="宋体"/>
          <w:color w:val="auto"/>
          <w:sz w:val="24"/>
          <w:szCs w:val="24"/>
        </w:rPr>
        <w:t>澄清确认</w:t>
      </w:r>
      <w:r>
        <w:rPr>
          <w:rFonts w:hint="eastAsia" w:cs="宋体"/>
          <w:color w:val="auto"/>
          <w:spacing w:val="-7"/>
          <w:sz w:val="24"/>
          <w:szCs w:val="24"/>
        </w:rPr>
        <w:t>、递交</w:t>
      </w:r>
      <w:r>
        <w:rPr>
          <w:rFonts w:hint="eastAsia" w:cs="宋体"/>
          <w:color w:val="auto"/>
          <w:sz w:val="24"/>
          <w:szCs w:val="24"/>
        </w:rPr>
        <w:t>、撤回</w:t>
      </w:r>
      <w:r>
        <w:rPr>
          <w:rFonts w:hint="eastAsia" w:cs="宋体"/>
          <w:color w:val="auto"/>
          <w:spacing w:val="-120"/>
          <w:sz w:val="24"/>
          <w:szCs w:val="24"/>
        </w:rPr>
        <w:t>、</w:t>
      </w:r>
      <w:r>
        <w:rPr>
          <w:rFonts w:hint="eastAsia" w:cs="宋体"/>
          <w:color w:val="auto"/>
          <w:sz w:val="24"/>
          <w:szCs w:val="24"/>
        </w:rPr>
        <w:t>、修改</w:t>
      </w:r>
      <w:r>
        <w:rPr>
          <w:color w:val="auto"/>
          <w:sz w:val="24"/>
          <w:szCs w:val="24"/>
          <w:u w:val="single"/>
        </w:rPr>
        <w:tab/>
      </w:r>
      <w:r>
        <w:rPr>
          <w:rFonts w:hint="eastAsia" w:cs="宋体"/>
          <w:color w:val="auto"/>
          <w:spacing w:val="-1"/>
          <w:sz w:val="24"/>
          <w:szCs w:val="24"/>
        </w:rPr>
        <w:t>（</w:t>
      </w:r>
      <w:r>
        <w:rPr>
          <w:rFonts w:hint="eastAsia" w:cs="宋体"/>
          <w:color w:val="auto"/>
          <w:sz w:val="24"/>
          <w:szCs w:val="24"/>
        </w:rPr>
        <w:t>项目名称</w:t>
      </w:r>
      <w:r>
        <w:rPr>
          <w:rFonts w:hint="eastAsia" w:cs="宋体"/>
          <w:color w:val="auto"/>
          <w:spacing w:val="-1"/>
          <w:sz w:val="24"/>
          <w:szCs w:val="24"/>
        </w:rPr>
        <w:t>）</w:t>
      </w:r>
      <w:r>
        <w:rPr>
          <w:rFonts w:hint="eastAsia" w:cs="宋体"/>
          <w:color w:val="auto"/>
          <w:sz w:val="24"/>
          <w:szCs w:val="24"/>
        </w:rPr>
        <w:t>标段勘察投标文件、签订合同和处理有关事宜，其法律后果由我方承担。</w:t>
      </w:r>
    </w:p>
    <w:p>
      <w:pPr>
        <w:autoSpaceDE w:val="0"/>
        <w:autoSpaceDN w:val="0"/>
        <w:snapToGrid w:val="0"/>
        <w:spacing w:before="42" w:line="360" w:lineRule="auto"/>
        <w:ind w:firstLine="480" w:firstLineChars="200"/>
        <w:jc w:val="left"/>
        <w:rPr>
          <w:color w:val="auto"/>
          <w:sz w:val="24"/>
          <w:szCs w:val="24"/>
        </w:rPr>
      </w:pPr>
      <w:r>
        <w:rPr>
          <w:rFonts w:hint="eastAsia" w:cs="宋体"/>
          <w:color w:val="auto"/>
          <w:sz w:val="24"/>
          <w:szCs w:val="24"/>
        </w:rPr>
        <w:t>委托期限：自本委托书签署之日起至投标有效期期满。</w:t>
      </w:r>
    </w:p>
    <w:p>
      <w:pPr>
        <w:autoSpaceDE w:val="0"/>
        <w:autoSpaceDN w:val="0"/>
        <w:snapToGrid w:val="0"/>
        <w:spacing w:before="42" w:line="360" w:lineRule="auto"/>
        <w:ind w:firstLine="480" w:firstLineChars="200"/>
        <w:jc w:val="left"/>
        <w:rPr>
          <w:rFonts w:cs="Times New Roman"/>
          <w:color w:val="auto"/>
          <w:sz w:val="24"/>
          <w:szCs w:val="24"/>
        </w:rPr>
      </w:pPr>
      <w:r>
        <w:rPr>
          <w:rFonts w:hint="eastAsia" w:cs="宋体"/>
          <w:color w:val="auto"/>
          <w:sz w:val="24"/>
          <w:szCs w:val="24"/>
        </w:rPr>
        <w:t>代理人无转委托权。</w:t>
      </w:r>
    </w:p>
    <w:p>
      <w:pPr>
        <w:autoSpaceDE w:val="0"/>
        <w:autoSpaceDN w:val="0"/>
        <w:snapToGrid w:val="0"/>
        <w:spacing w:line="200" w:lineRule="exact"/>
        <w:jc w:val="left"/>
        <w:rPr>
          <w:color w:val="auto"/>
          <w:sz w:val="20"/>
          <w:szCs w:val="20"/>
        </w:rPr>
      </w:pPr>
    </w:p>
    <w:p>
      <w:pPr>
        <w:tabs>
          <w:tab w:val="left" w:pos="3210"/>
        </w:tabs>
        <w:autoSpaceDE w:val="0"/>
        <w:autoSpaceDN w:val="0"/>
        <w:snapToGrid w:val="0"/>
        <w:spacing w:line="200" w:lineRule="exact"/>
        <w:jc w:val="left"/>
        <w:rPr>
          <w:color w:val="auto"/>
          <w:sz w:val="20"/>
          <w:szCs w:val="20"/>
        </w:rPr>
      </w:pPr>
      <w:r>
        <w:rPr>
          <w:color w:val="auto"/>
          <w:sz w:val="20"/>
          <w:szCs w:val="20"/>
        </w:rPr>
        <w:tab/>
      </w:r>
    </w:p>
    <w:p>
      <w:pPr>
        <w:autoSpaceDE w:val="0"/>
        <w:autoSpaceDN w:val="0"/>
        <w:snapToGrid w:val="0"/>
        <w:spacing w:before="5" w:line="240" w:lineRule="exact"/>
        <w:jc w:val="left"/>
        <w:rPr>
          <w:rFonts w:cs="Times New Roman"/>
          <w:color w:val="auto"/>
        </w:rPr>
      </w:pPr>
      <w:r>
        <w:rPr>
          <w:rFonts w:hint="eastAsia" w:cs="宋体"/>
          <w:color w:val="auto"/>
        </w:rPr>
        <w:t>附：法定代表人身份证复印件及委托代理人身份证复印件。</w:t>
      </w:r>
    </w:p>
    <w:p>
      <w:pPr>
        <w:tabs>
          <w:tab w:val="left" w:pos="6980"/>
        </w:tabs>
        <w:autoSpaceDE w:val="0"/>
        <w:autoSpaceDN w:val="0"/>
        <w:snapToGrid w:val="0"/>
        <w:ind w:left="3393"/>
        <w:jc w:val="left"/>
        <w:rPr>
          <w:rFonts w:cs="Times New Roman"/>
          <w:color w:val="auto"/>
          <w:sz w:val="24"/>
          <w:szCs w:val="24"/>
        </w:rPr>
      </w:pPr>
    </w:p>
    <w:p>
      <w:pPr>
        <w:tabs>
          <w:tab w:val="left" w:pos="6980"/>
        </w:tabs>
        <w:autoSpaceDE w:val="0"/>
        <w:autoSpaceDN w:val="0"/>
        <w:snapToGrid w:val="0"/>
        <w:ind w:left="3393"/>
        <w:jc w:val="left"/>
        <w:rPr>
          <w:rFonts w:cs="Times New Roman"/>
          <w:color w:val="auto"/>
          <w:sz w:val="24"/>
          <w:szCs w:val="24"/>
        </w:rPr>
      </w:pPr>
      <w:r>
        <w:rPr>
          <w:rFonts w:hint="eastAsia" w:cs="宋体"/>
          <w:color w:val="auto"/>
          <w:sz w:val="24"/>
          <w:szCs w:val="24"/>
        </w:rPr>
        <w:t>投标人：</w:t>
      </w:r>
      <w:r>
        <w:rPr>
          <w:color w:val="auto"/>
          <w:sz w:val="24"/>
          <w:szCs w:val="24"/>
          <w:u w:val="single"/>
        </w:rPr>
        <w:tab/>
      </w:r>
      <w:r>
        <w:rPr>
          <w:rFonts w:hint="eastAsia" w:cs="宋体"/>
          <w:color w:val="auto"/>
          <w:spacing w:val="-1"/>
          <w:sz w:val="24"/>
          <w:szCs w:val="24"/>
        </w:rPr>
        <w:t>（</w:t>
      </w:r>
      <w:r>
        <w:rPr>
          <w:rFonts w:hint="eastAsia" w:cs="宋体"/>
          <w:color w:val="auto"/>
          <w:sz w:val="24"/>
          <w:szCs w:val="24"/>
        </w:rPr>
        <w:t>盖单位</w:t>
      </w:r>
      <w:r>
        <w:rPr>
          <w:rFonts w:hint="eastAsia" w:cs="宋体"/>
          <w:color w:val="auto"/>
          <w:spacing w:val="1"/>
          <w:sz w:val="24"/>
          <w:szCs w:val="24"/>
        </w:rPr>
        <w:t>章</w:t>
      </w:r>
      <w:r>
        <w:rPr>
          <w:rFonts w:hint="eastAsia" w:cs="宋体"/>
          <w:color w:val="auto"/>
          <w:sz w:val="24"/>
          <w:szCs w:val="24"/>
        </w:rPr>
        <w:t>）</w:t>
      </w:r>
    </w:p>
    <w:p>
      <w:pPr>
        <w:autoSpaceDE w:val="0"/>
        <w:autoSpaceDN w:val="0"/>
        <w:snapToGrid w:val="0"/>
        <w:spacing w:line="200" w:lineRule="exact"/>
        <w:jc w:val="left"/>
        <w:rPr>
          <w:rFonts w:cs="Times New Roman"/>
          <w:color w:val="auto"/>
          <w:sz w:val="20"/>
          <w:szCs w:val="20"/>
        </w:rPr>
      </w:pPr>
    </w:p>
    <w:p>
      <w:pPr>
        <w:autoSpaceDE w:val="0"/>
        <w:autoSpaceDN w:val="0"/>
        <w:snapToGrid w:val="0"/>
        <w:spacing w:before="7" w:line="220" w:lineRule="exact"/>
        <w:jc w:val="left"/>
        <w:rPr>
          <w:rFonts w:cs="Times New Roman"/>
          <w:color w:val="auto"/>
          <w:sz w:val="22"/>
          <w:szCs w:val="22"/>
        </w:rPr>
      </w:pPr>
    </w:p>
    <w:p>
      <w:pPr>
        <w:tabs>
          <w:tab w:val="left" w:pos="7455"/>
        </w:tabs>
        <w:autoSpaceDE w:val="0"/>
        <w:autoSpaceDN w:val="0"/>
        <w:snapToGrid w:val="0"/>
        <w:ind w:left="3393"/>
        <w:jc w:val="left"/>
        <w:rPr>
          <w:rFonts w:cs="Times New Roman"/>
          <w:color w:val="auto"/>
          <w:sz w:val="24"/>
          <w:szCs w:val="24"/>
        </w:rPr>
      </w:pPr>
      <w:r>
        <w:rPr>
          <w:rFonts w:hint="eastAsia" w:cs="宋体"/>
          <w:color w:val="auto"/>
          <w:sz w:val="24"/>
          <w:szCs w:val="24"/>
        </w:rPr>
        <w:t>法定代表人：</w:t>
      </w:r>
      <w:r>
        <w:rPr>
          <w:color w:val="auto"/>
          <w:sz w:val="24"/>
          <w:szCs w:val="24"/>
          <w:u w:val="single"/>
        </w:rPr>
        <w:tab/>
      </w:r>
      <w:r>
        <w:rPr>
          <w:rFonts w:hint="eastAsia" w:cs="宋体"/>
          <w:color w:val="auto"/>
          <w:spacing w:val="-1"/>
          <w:sz w:val="24"/>
          <w:szCs w:val="24"/>
        </w:rPr>
        <w:t>（</w:t>
      </w:r>
      <w:r>
        <w:rPr>
          <w:rFonts w:hint="eastAsia" w:cs="宋体"/>
          <w:color w:val="auto"/>
          <w:sz w:val="24"/>
          <w:szCs w:val="24"/>
        </w:rPr>
        <w:t>签字）</w:t>
      </w:r>
    </w:p>
    <w:p>
      <w:pPr>
        <w:autoSpaceDE w:val="0"/>
        <w:autoSpaceDN w:val="0"/>
        <w:snapToGrid w:val="0"/>
        <w:spacing w:line="200" w:lineRule="exact"/>
        <w:jc w:val="left"/>
        <w:rPr>
          <w:rFonts w:cs="Times New Roman"/>
          <w:color w:val="auto"/>
          <w:sz w:val="20"/>
          <w:szCs w:val="20"/>
        </w:rPr>
      </w:pPr>
    </w:p>
    <w:p>
      <w:pPr>
        <w:autoSpaceDE w:val="0"/>
        <w:autoSpaceDN w:val="0"/>
        <w:snapToGrid w:val="0"/>
        <w:spacing w:before="9" w:line="220" w:lineRule="exact"/>
        <w:jc w:val="left"/>
        <w:rPr>
          <w:rFonts w:cs="Times New Roman"/>
          <w:color w:val="auto"/>
          <w:sz w:val="22"/>
          <w:szCs w:val="22"/>
        </w:rPr>
      </w:pPr>
    </w:p>
    <w:p>
      <w:pPr>
        <w:tabs>
          <w:tab w:val="left" w:pos="8180"/>
        </w:tabs>
        <w:autoSpaceDE w:val="0"/>
        <w:autoSpaceDN w:val="0"/>
        <w:snapToGrid w:val="0"/>
        <w:ind w:left="3393"/>
        <w:jc w:val="left"/>
        <w:rPr>
          <w:rFonts w:cs="Times New Roman"/>
          <w:color w:val="auto"/>
          <w:sz w:val="24"/>
          <w:szCs w:val="24"/>
        </w:rPr>
      </w:pPr>
      <w:r>
        <w:rPr>
          <w:rFonts w:hint="eastAsia" w:cs="宋体"/>
          <w:color w:val="auto"/>
          <w:sz w:val="24"/>
          <w:szCs w:val="24"/>
        </w:rPr>
        <w:t>身份证号码：</w:t>
      </w:r>
      <w:r>
        <w:rPr>
          <w:color w:val="auto"/>
          <w:sz w:val="24"/>
          <w:szCs w:val="24"/>
          <w:u w:val="single"/>
        </w:rPr>
        <w:tab/>
      </w:r>
    </w:p>
    <w:p>
      <w:pPr>
        <w:autoSpaceDE w:val="0"/>
        <w:autoSpaceDN w:val="0"/>
        <w:snapToGrid w:val="0"/>
        <w:spacing w:line="200" w:lineRule="exact"/>
        <w:jc w:val="left"/>
        <w:rPr>
          <w:rFonts w:cs="Times New Roman"/>
          <w:color w:val="auto"/>
          <w:sz w:val="20"/>
          <w:szCs w:val="20"/>
        </w:rPr>
      </w:pPr>
    </w:p>
    <w:p>
      <w:pPr>
        <w:autoSpaceDE w:val="0"/>
        <w:autoSpaceDN w:val="0"/>
        <w:snapToGrid w:val="0"/>
        <w:spacing w:before="20" w:line="280" w:lineRule="exact"/>
        <w:jc w:val="left"/>
        <w:rPr>
          <w:rFonts w:cs="Times New Roman"/>
          <w:color w:val="auto"/>
          <w:sz w:val="28"/>
          <w:szCs w:val="28"/>
        </w:rPr>
      </w:pPr>
    </w:p>
    <w:p>
      <w:pPr>
        <w:tabs>
          <w:tab w:val="left" w:pos="7455"/>
        </w:tabs>
        <w:autoSpaceDE w:val="0"/>
        <w:autoSpaceDN w:val="0"/>
        <w:snapToGrid w:val="0"/>
        <w:ind w:left="3393"/>
        <w:jc w:val="left"/>
        <w:rPr>
          <w:rFonts w:cs="Times New Roman"/>
          <w:color w:val="auto"/>
          <w:sz w:val="24"/>
          <w:szCs w:val="24"/>
        </w:rPr>
      </w:pPr>
      <w:r>
        <w:rPr>
          <w:rFonts w:hint="eastAsia" w:cs="宋体"/>
          <w:color w:val="auto"/>
          <w:position w:val="-1"/>
          <w:sz w:val="24"/>
          <w:szCs w:val="24"/>
        </w:rPr>
        <w:t>委托代理人：</w:t>
      </w:r>
      <w:r>
        <w:rPr>
          <w:color w:val="auto"/>
          <w:position w:val="-1"/>
          <w:sz w:val="24"/>
          <w:szCs w:val="24"/>
          <w:u w:val="single"/>
        </w:rPr>
        <w:tab/>
      </w:r>
      <w:r>
        <w:rPr>
          <w:rFonts w:hint="eastAsia" w:cs="宋体"/>
          <w:color w:val="auto"/>
          <w:spacing w:val="-1"/>
          <w:sz w:val="24"/>
          <w:szCs w:val="24"/>
        </w:rPr>
        <w:t>（</w:t>
      </w:r>
      <w:r>
        <w:rPr>
          <w:rFonts w:hint="eastAsia" w:cs="宋体"/>
          <w:color w:val="auto"/>
          <w:sz w:val="24"/>
          <w:szCs w:val="24"/>
        </w:rPr>
        <w:t>签字）</w:t>
      </w:r>
    </w:p>
    <w:p>
      <w:pPr>
        <w:autoSpaceDE w:val="0"/>
        <w:autoSpaceDN w:val="0"/>
        <w:snapToGrid w:val="0"/>
        <w:spacing w:line="200" w:lineRule="exact"/>
        <w:jc w:val="left"/>
        <w:rPr>
          <w:rFonts w:cs="Times New Roman"/>
          <w:color w:val="auto"/>
          <w:sz w:val="20"/>
          <w:szCs w:val="20"/>
        </w:rPr>
      </w:pPr>
    </w:p>
    <w:p>
      <w:pPr>
        <w:autoSpaceDE w:val="0"/>
        <w:autoSpaceDN w:val="0"/>
        <w:snapToGrid w:val="0"/>
        <w:spacing w:before="7" w:line="220" w:lineRule="exact"/>
        <w:jc w:val="left"/>
        <w:rPr>
          <w:rFonts w:cs="Times New Roman"/>
          <w:color w:val="auto"/>
          <w:sz w:val="22"/>
          <w:szCs w:val="22"/>
        </w:rPr>
      </w:pPr>
    </w:p>
    <w:p>
      <w:pPr>
        <w:tabs>
          <w:tab w:val="left" w:pos="8180"/>
        </w:tabs>
        <w:autoSpaceDE w:val="0"/>
        <w:autoSpaceDN w:val="0"/>
        <w:snapToGrid w:val="0"/>
        <w:ind w:left="3393"/>
        <w:jc w:val="left"/>
        <w:rPr>
          <w:rFonts w:cs="Times New Roman"/>
          <w:color w:val="auto"/>
          <w:sz w:val="24"/>
          <w:szCs w:val="24"/>
        </w:rPr>
      </w:pPr>
      <w:r>
        <w:rPr>
          <w:rFonts w:hint="eastAsia" w:cs="宋体"/>
          <w:color w:val="auto"/>
          <w:sz w:val="24"/>
          <w:szCs w:val="24"/>
        </w:rPr>
        <w:t>身份证号码：</w:t>
      </w:r>
      <w:r>
        <w:rPr>
          <w:color w:val="auto"/>
          <w:sz w:val="24"/>
          <w:szCs w:val="24"/>
          <w:u w:val="single"/>
        </w:rPr>
        <w:tab/>
      </w:r>
    </w:p>
    <w:p>
      <w:pPr>
        <w:autoSpaceDE w:val="0"/>
        <w:autoSpaceDN w:val="0"/>
        <w:snapToGrid w:val="0"/>
        <w:spacing w:before="2" w:line="100" w:lineRule="exact"/>
        <w:jc w:val="left"/>
        <w:rPr>
          <w:rFonts w:cs="Times New Roman"/>
          <w:color w:val="auto"/>
          <w:sz w:val="10"/>
          <w:szCs w:val="10"/>
        </w:rPr>
      </w:pPr>
    </w:p>
    <w:p>
      <w:pPr>
        <w:autoSpaceDE w:val="0"/>
        <w:autoSpaceDN w:val="0"/>
        <w:snapToGrid w:val="0"/>
        <w:spacing w:line="200" w:lineRule="exact"/>
        <w:jc w:val="left"/>
        <w:rPr>
          <w:rFonts w:cs="Times New Roman"/>
          <w:color w:val="auto"/>
          <w:sz w:val="20"/>
          <w:szCs w:val="20"/>
        </w:rPr>
      </w:pPr>
    </w:p>
    <w:p>
      <w:pPr>
        <w:autoSpaceDE w:val="0"/>
        <w:autoSpaceDN w:val="0"/>
        <w:snapToGrid w:val="0"/>
        <w:spacing w:line="200" w:lineRule="exact"/>
        <w:jc w:val="left"/>
        <w:rPr>
          <w:rFonts w:cs="Times New Roman"/>
          <w:color w:val="auto"/>
          <w:sz w:val="20"/>
          <w:szCs w:val="20"/>
        </w:rPr>
      </w:pPr>
    </w:p>
    <w:p>
      <w:pPr>
        <w:tabs>
          <w:tab w:val="left" w:pos="5080"/>
          <w:tab w:val="left" w:pos="6400"/>
          <w:tab w:val="left" w:pos="7480"/>
        </w:tabs>
        <w:autoSpaceDE w:val="0"/>
        <w:autoSpaceDN w:val="0"/>
        <w:snapToGrid w:val="0"/>
        <w:spacing w:line="300" w:lineRule="exact"/>
        <w:ind w:left="4240"/>
        <w:jc w:val="left"/>
        <w:rPr>
          <w:rFonts w:cs="Times New Roman"/>
          <w:color w:val="auto"/>
          <w:sz w:val="24"/>
          <w:szCs w:val="24"/>
        </w:rPr>
      </w:pPr>
      <w:r>
        <w:rPr>
          <w:color w:val="auto"/>
          <w:position w:val="-3"/>
          <w:sz w:val="24"/>
          <w:szCs w:val="24"/>
          <w:u w:val="single"/>
        </w:rPr>
        <w:tab/>
      </w:r>
      <w:r>
        <w:rPr>
          <w:rFonts w:hint="eastAsia" w:cs="宋体"/>
          <w:color w:val="auto"/>
          <w:position w:val="-3"/>
          <w:sz w:val="24"/>
          <w:szCs w:val="24"/>
        </w:rPr>
        <w:t>年</w:t>
      </w:r>
      <w:r>
        <w:rPr>
          <w:color w:val="auto"/>
          <w:position w:val="-3"/>
          <w:sz w:val="24"/>
          <w:szCs w:val="24"/>
          <w:u w:val="single"/>
        </w:rPr>
        <w:tab/>
      </w:r>
      <w:r>
        <w:rPr>
          <w:rFonts w:hint="eastAsia" w:cs="宋体"/>
          <w:color w:val="auto"/>
          <w:position w:val="-3"/>
          <w:sz w:val="24"/>
          <w:szCs w:val="24"/>
        </w:rPr>
        <w:t>月</w:t>
      </w:r>
      <w:r>
        <w:rPr>
          <w:color w:val="auto"/>
          <w:position w:val="-3"/>
          <w:sz w:val="24"/>
          <w:szCs w:val="24"/>
          <w:u w:val="single"/>
        </w:rPr>
        <w:tab/>
      </w:r>
      <w:r>
        <w:rPr>
          <w:rFonts w:hint="eastAsia" w:cs="宋体"/>
          <w:color w:val="auto"/>
          <w:position w:val="-3"/>
          <w:sz w:val="24"/>
          <w:szCs w:val="24"/>
        </w:rPr>
        <w:t>日</w:t>
      </w:r>
    </w:p>
    <w:p>
      <w:pPr>
        <w:autoSpaceDE w:val="0"/>
        <w:autoSpaceDN w:val="0"/>
        <w:snapToGrid w:val="0"/>
        <w:ind w:left="102"/>
        <w:jc w:val="left"/>
        <w:rPr>
          <w:color w:val="auto"/>
        </w:rPr>
      </w:pPr>
    </w:p>
    <w:p>
      <w:pPr>
        <w:autoSpaceDE w:val="0"/>
        <w:autoSpaceDN w:val="0"/>
        <w:snapToGrid w:val="0"/>
        <w:ind w:left="102"/>
        <w:jc w:val="left"/>
        <w:rPr>
          <w:rFonts w:cs="Times New Roman"/>
          <w:color w:val="auto"/>
        </w:rPr>
      </w:pPr>
      <w:r>
        <w:rPr>
          <w:rFonts w:hint="eastAsia" w:cs="宋体"/>
          <w:color w:val="auto"/>
        </w:rPr>
        <w:t>注：</w:t>
      </w:r>
    </w:p>
    <w:p>
      <w:pPr>
        <w:autoSpaceDE w:val="0"/>
        <w:autoSpaceDN w:val="0"/>
        <w:snapToGrid w:val="0"/>
        <w:spacing w:line="360" w:lineRule="auto"/>
        <w:ind w:left="102" w:firstLine="420" w:firstLineChars="200"/>
        <w:jc w:val="left"/>
        <w:rPr>
          <w:rFonts w:cs="Times New Roman"/>
          <w:color w:val="auto"/>
        </w:rPr>
      </w:pPr>
      <w:r>
        <w:rPr>
          <w:color w:val="auto"/>
        </w:rPr>
        <w:t xml:space="preserve">1. </w:t>
      </w:r>
      <w:r>
        <w:rPr>
          <w:rFonts w:hint="eastAsia" w:cs="宋体"/>
          <w:color w:val="auto"/>
        </w:rPr>
        <w:t>法</w:t>
      </w:r>
      <w:r>
        <w:rPr>
          <w:rFonts w:hint="eastAsia" w:cs="宋体"/>
          <w:color w:val="auto"/>
          <w:spacing w:val="-2"/>
        </w:rPr>
        <w:t>定</w:t>
      </w:r>
      <w:r>
        <w:rPr>
          <w:rFonts w:hint="eastAsia" w:cs="宋体"/>
          <w:color w:val="auto"/>
        </w:rPr>
        <w:t>代</w:t>
      </w:r>
      <w:r>
        <w:rPr>
          <w:rFonts w:hint="eastAsia" w:cs="宋体"/>
          <w:color w:val="auto"/>
          <w:spacing w:val="-2"/>
        </w:rPr>
        <w:t>表</w:t>
      </w:r>
      <w:r>
        <w:rPr>
          <w:rFonts w:hint="eastAsia" w:cs="宋体"/>
          <w:color w:val="auto"/>
        </w:rPr>
        <w:t>人</w:t>
      </w:r>
      <w:r>
        <w:rPr>
          <w:rFonts w:hint="eastAsia" w:cs="宋体"/>
          <w:color w:val="auto"/>
          <w:spacing w:val="-2"/>
        </w:rPr>
        <w:t>和</w:t>
      </w:r>
      <w:r>
        <w:rPr>
          <w:rFonts w:hint="eastAsia" w:cs="宋体"/>
          <w:color w:val="auto"/>
        </w:rPr>
        <w:t>委托</w:t>
      </w:r>
      <w:r>
        <w:rPr>
          <w:rFonts w:hint="eastAsia" w:cs="宋体"/>
          <w:color w:val="auto"/>
          <w:spacing w:val="-2"/>
        </w:rPr>
        <w:t>代理</w:t>
      </w:r>
      <w:r>
        <w:rPr>
          <w:rFonts w:hint="eastAsia" w:cs="宋体"/>
          <w:color w:val="auto"/>
        </w:rPr>
        <w:t>人必</w:t>
      </w:r>
      <w:r>
        <w:rPr>
          <w:rFonts w:hint="eastAsia" w:cs="宋体"/>
          <w:color w:val="auto"/>
          <w:spacing w:val="-2"/>
        </w:rPr>
        <w:t>须</w:t>
      </w:r>
      <w:r>
        <w:rPr>
          <w:rFonts w:hint="eastAsia" w:cs="宋体"/>
          <w:color w:val="auto"/>
        </w:rPr>
        <w:t>在</w:t>
      </w:r>
      <w:r>
        <w:rPr>
          <w:rFonts w:hint="eastAsia" w:cs="宋体"/>
          <w:color w:val="auto"/>
          <w:spacing w:val="-2"/>
        </w:rPr>
        <w:t>授</w:t>
      </w:r>
      <w:r>
        <w:rPr>
          <w:rFonts w:hint="eastAsia" w:cs="宋体"/>
          <w:color w:val="auto"/>
        </w:rPr>
        <w:t>权</w:t>
      </w:r>
      <w:r>
        <w:rPr>
          <w:rFonts w:hint="eastAsia" w:cs="宋体"/>
          <w:color w:val="auto"/>
          <w:spacing w:val="-2"/>
        </w:rPr>
        <w:t>书</w:t>
      </w:r>
      <w:r>
        <w:rPr>
          <w:rFonts w:hint="eastAsia" w:cs="宋体"/>
          <w:color w:val="auto"/>
        </w:rPr>
        <w:t>上</w:t>
      </w:r>
      <w:r>
        <w:rPr>
          <w:rFonts w:hint="eastAsia" w:cs="宋体"/>
          <w:color w:val="auto"/>
          <w:spacing w:val="-2"/>
        </w:rPr>
        <w:t>亲</w:t>
      </w:r>
      <w:r>
        <w:rPr>
          <w:rFonts w:hint="eastAsia" w:cs="宋体"/>
          <w:color w:val="auto"/>
        </w:rPr>
        <w:t>笔</w:t>
      </w:r>
      <w:r>
        <w:rPr>
          <w:rFonts w:hint="eastAsia" w:cs="宋体"/>
          <w:color w:val="auto"/>
          <w:spacing w:val="-2"/>
        </w:rPr>
        <w:t>签</w:t>
      </w:r>
      <w:r>
        <w:rPr>
          <w:rFonts w:hint="eastAsia" w:cs="宋体"/>
          <w:color w:val="auto"/>
        </w:rPr>
        <w:t>名，</w:t>
      </w:r>
      <w:r>
        <w:rPr>
          <w:rFonts w:hint="eastAsia" w:cs="宋体"/>
          <w:color w:val="auto"/>
          <w:spacing w:val="-2"/>
        </w:rPr>
        <w:t>不</w:t>
      </w:r>
      <w:r>
        <w:rPr>
          <w:rFonts w:hint="eastAsia" w:cs="宋体"/>
          <w:color w:val="auto"/>
        </w:rPr>
        <w:t>得</w:t>
      </w:r>
      <w:r>
        <w:rPr>
          <w:rFonts w:hint="eastAsia" w:cs="宋体"/>
          <w:color w:val="auto"/>
          <w:spacing w:val="-2"/>
        </w:rPr>
        <w:t>使</w:t>
      </w:r>
      <w:r>
        <w:rPr>
          <w:rFonts w:hint="eastAsia" w:cs="宋体"/>
          <w:color w:val="auto"/>
        </w:rPr>
        <w:t>用</w:t>
      </w:r>
      <w:r>
        <w:rPr>
          <w:rFonts w:hint="eastAsia" w:cs="宋体"/>
          <w:color w:val="auto"/>
          <w:spacing w:val="-2"/>
        </w:rPr>
        <w:t>印</w:t>
      </w:r>
      <w:r>
        <w:rPr>
          <w:rFonts w:hint="eastAsia" w:cs="宋体"/>
          <w:color w:val="auto"/>
        </w:rPr>
        <w:t>章</w:t>
      </w:r>
      <w:r>
        <w:rPr>
          <w:rFonts w:hint="eastAsia" w:cs="宋体"/>
          <w:color w:val="auto"/>
          <w:spacing w:val="-2"/>
        </w:rPr>
        <w:t>、</w:t>
      </w:r>
      <w:r>
        <w:rPr>
          <w:rFonts w:hint="eastAsia" w:cs="宋体"/>
          <w:color w:val="auto"/>
        </w:rPr>
        <w:t>签</w:t>
      </w:r>
      <w:r>
        <w:rPr>
          <w:rFonts w:hint="eastAsia" w:cs="宋体"/>
          <w:color w:val="auto"/>
          <w:spacing w:val="-2"/>
        </w:rPr>
        <w:t>名</w:t>
      </w:r>
      <w:r>
        <w:rPr>
          <w:rFonts w:hint="eastAsia" w:cs="宋体"/>
          <w:color w:val="auto"/>
        </w:rPr>
        <w:t>章或</w:t>
      </w:r>
      <w:r>
        <w:rPr>
          <w:rFonts w:hint="eastAsia" w:cs="宋体"/>
          <w:color w:val="auto"/>
          <w:spacing w:val="-2"/>
        </w:rPr>
        <w:t>其</w:t>
      </w:r>
      <w:r>
        <w:rPr>
          <w:rFonts w:hint="eastAsia" w:cs="宋体"/>
          <w:color w:val="auto"/>
        </w:rPr>
        <w:t>他</w:t>
      </w:r>
      <w:r>
        <w:rPr>
          <w:rFonts w:hint="eastAsia" w:cs="宋体"/>
          <w:color w:val="auto"/>
          <w:spacing w:val="-2"/>
        </w:rPr>
        <w:t>电</w:t>
      </w:r>
      <w:r>
        <w:rPr>
          <w:rFonts w:hint="eastAsia" w:cs="宋体"/>
          <w:color w:val="auto"/>
        </w:rPr>
        <w:t>子制版</w:t>
      </w:r>
      <w:r>
        <w:rPr>
          <w:rFonts w:hint="eastAsia" w:cs="宋体"/>
          <w:color w:val="auto"/>
          <w:spacing w:val="-2"/>
        </w:rPr>
        <w:t>签</w:t>
      </w:r>
      <w:r>
        <w:rPr>
          <w:rFonts w:hint="eastAsia" w:cs="宋体"/>
          <w:color w:val="auto"/>
        </w:rPr>
        <w:t>名代替；</w:t>
      </w:r>
    </w:p>
    <w:p>
      <w:pPr>
        <w:numPr>
          <w:ilvl w:val="0"/>
          <w:numId w:val="19"/>
        </w:numPr>
        <w:autoSpaceDE w:val="0"/>
        <w:autoSpaceDN w:val="0"/>
        <w:snapToGrid w:val="0"/>
        <w:spacing w:line="360" w:lineRule="auto"/>
        <w:jc w:val="left"/>
        <w:rPr>
          <w:rFonts w:cs="Times New Roman"/>
          <w:color w:val="auto"/>
        </w:rPr>
      </w:pPr>
      <w:r>
        <w:rPr>
          <w:rFonts w:hint="eastAsia" w:cs="宋体"/>
          <w:color w:val="auto"/>
        </w:rPr>
        <w:t>如果由投标人的法定代表人签署投标文件，则不需提交授权委托书。</w:t>
      </w:r>
    </w:p>
    <w:p>
      <w:pPr>
        <w:autoSpaceDE w:val="0"/>
        <w:autoSpaceDN w:val="0"/>
        <w:snapToGrid w:val="0"/>
        <w:spacing w:line="360" w:lineRule="auto"/>
        <w:ind w:left="102" w:firstLine="420" w:firstLineChars="200"/>
        <w:jc w:val="left"/>
        <w:rPr>
          <w:rFonts w:cs="Times New Roman"/>
          <w:color w:val="auto"/>
        </w:rPr>
      </w:pPr>
      <w:r>
        <w:rPr>
          <w:color w:val="auto"/>
        </w:rPr>
        <w:t>3.</w:t>
      </w:r>
      <w:r>
        <w:rPr>
          <w:rFonts w:hint="eastAsia" w:cs="宋体"/>
          <w:color w:val="auto"/>
        </w:rPr>
        <w:t>以联合体形式投标的，本授权委托书应由联合体牵头人的法定代表人按上述规定签署。</w:t>
      </w:r>
    </w:p>
    <w:p>
      <w:pPr>
        <w:autoSpaceDE w:val="0"/>
        <w:autoSpaceDN w:val="0"/>
        <w:snapToGrid w:val="0"/>
        <w:spacing w:line="360" w:lineRule="auto"/>
        <w:ind w:left="102" w:firstLine="420" w:firstLineChars="200"/>
        <w:jc w:val="left"/>
        <w:rPr>
          <w:rFonts w:cs="Times New Roman"/>
          <w:color w:val="auto"/>
        </w:rPr>
      </w:pPr>
    </w:p>
    <w:p>
      <w:pPr>
        <w:autoSpaceDE w:val="0"/>
        <w:autoSpaceDN w:val="0"/>
        <w:snapToGrid w:val="0"/>
        <w:jc w:val="center"/>
        <w:rPr>
          <w:rFonts w:ascii="黑体" w:eastAsia="黑体" w:cs="Times New Roman"/>
          <w:b/>
          <w:bCs/>
          <w:color w:val="auto"/>
          <w:sz w:val="28"/>
          <w:szCs w:val="28"/>
        </w:rPr>
      </w:pPr>
    </w:p>
    <w:p>
      <w:pPr>
        <w:autoSpaceDE w:val="0"/>
        <w:autoSpaceDN w:val="0"/>
        <w:snapToGrid w:val="0"/>
        <w:jc w:val="center"/>
        <w:rPr>
          <w:rFonts w:ascii="黑体" w:eastAsia="黑体" w:cs="黑体"/>
          <w:b/>
          <w:bCs/>
          <w:color w:val="auto"/>
          <w:sz w:val="28"/>
          <w:szCs w:val="28"/>
        </w:rPr>
      </w:pPr>
    </w:p>
    <w:p>
      <w:pPr>
        <w:autoSpaceDE w:val="0"/>
        <w:autoSpaceDN w:val="0"/>
        <w:snapToGrid w:val="0"/>
        <w:jc w:val="center"/>
        <w:rPr>
          <w:rFonts w:ascii="Times New Roman" w:cs="Times New Roman"/>
          <w:color w:val="auto"/>
        </w:rPr>
      </w:pPr>
    </w:p>
    <w:p>
      <w:pPr>
        <w:autoSpaceDE w:val="0"/>
        <w:autoSpaceDN w:val="0"/>
        <w:snapToGrid w:val="0"/>
        <w:jc w:val="center"/>
        <w:rPr>
          <w:rFonts w:ascii="黑体" w:eastAsia="黑体" w:cs="Times New Roman"/>
          <w:b/>
          <w:bCs/>
          <w:color w:val="auto"/>
          <w:sz w:val="28"/>
          <w:szCs w:val="28"/>
        </w:rPr>
      </w:pPr>
      <w:r>
        <w:rPr>
          <w:rFonts w:ascii="黑体" w:hAnsi="黑体" w:eastAsia="黑体" w:cs="Times New Roman"/>
          <w:b/>
          <w:bCs/>
          <w:color w:val="auto"/>
          <w:sz w:val="28"/>
          <w:szCs w:val="28"/>
        </w:rPr>
        <w:br w:type="page"/>
      </w:r>
      <w:r>
        <w:rPr>
          <w:rFonts w:hint="eastAsia" w:ascii="黑体" w:hAnsi="黑体" w:eastAsia="黑体" w:cs="黑体"/>
          <w:b/>
          <w:bCs/>
          <w:color w:val="auto"/>
          <w:sz w:val="28"/>
          <w:szCs w:val="28"/>
        </w:rPr>
        <w:t>（二）法定代表人身份证明</w:t>
      </w:r>
    </w:p>
    <w:p>
      <w:pPr>
        <w:autoSpaceDE w:val="0"/>
        <w:autoSpaceDN w:val="0"/>
        <w:snapToGrid w:val="0"/>
        <w:spacing w:line="360" w:lineRule="auto"/>
        <w:jc w:val="center"/>
        <w:rPr>
          <w:rFonts w:ascii="Times New Roman" w:cs="Times New Roman"/>
          <w:color w:val="auto"/>
          <w:sz w:val="28"/>
          <w:szCs w:val="28"/>
        </w:rPr>
      </w:pPr>
    </w:p>
    <w:p>
      <w:pPr>
        <w:autoSpaceDE w:val="0"/>
        <w:autoSpaceDN w:val="0"/>
        <w:snapToGrid w:val="0"/>
        <w:spacing w:line="360" w:lineRule="auto"/>
        <w:jc w:val="left"/>
        <w:rPr>
          <w:rFonts w:cs="Times New Roman"/>
          <w:color w:val="auto"/>
          <w:sz w:val="24"/>
          <w:szCs w:val="24"/>
          <w:u w:val="single"/>
        </w:rPr>
      </w:pPr>
      <w:r>
        <w:rPr>
          <w:rFonts w:hint="eastAsia" w:cs="宋体"/>
          <w:color w:val="auto"/>
          <w:sz w:val="24"/>
          <w:szCs w:val="24"/>
        </w:rPr>
        <w:t>投标人名称：</w:t>
      </w:r>
      <w:r>
        <w:rPr>
          <w:color w:val="auto"/>
          <w:u w:val="single"/>
        </w:rPr>
        <w:t>..</w:t>
      </w:r>
    </w:p>
    <w:p>
      <w:pPr>
        <w:autoSpaceDE w:val="0"/>
        <w:autoSpaceDN w:val="0"/>
        <w:snapToGrid w:val="0"/>
        <w:spacing w:line="360" w:lineRule="auto"/>
        <w:jc w:val="left"/>
        <w:rPr>
          <w:rFonts w:cs="Times New Roman"/>
          <w:color w:val="auto"/>
          <w:sz w:val="24"/>
          <w:szCs w:val="24"/>
          <w:u w:val="single"/>
        </w:rPr>
      </w:pPr>
      <w:r>
        <w:rPr>
          <w:rFonts w:hint="eastAsia" w:cs="宋体"/>
          <w:color w:val="auto"/>
          <w:sz w:val="24"/>
          <w:szCs w:val="24"/>
        </w:rPr>
        <w:t>姓名：</w:t>
      </w:r>
      <w:r>
        <w:rPr>
          <w:rFonts w:hint="eastAsia" w:cs="宋体"/>
          <w:color w:val="auto"/>
          <w:sz w:val="24"/>
          <w:szCs w:val="24"/>
          <w:u w:val="single"/>
        </w:rPr>
        <w:t>（法定代表人亲笔签字）</w:t>
      </w:r>
      <w:r>
        <w:rPr>
          <w:rFonts w:hint="eastAsia" w:cs="宋体"/>
          <w:color w:val="auto"/>
          <w:sz w:val="24"/>
          <w:szCs w:val="24"/>
        </w:rPr>
        <w:t>性别：年龄：职务：</w:t>
      </w:r>
      <w:r>
        <w:rPr>
          <w:rFonts w:hint="eastAsia" w:cs="宋体"/>
          <w:color w:val="auto"/>
          <w:sz w:val="24"/>
          <w:szCs w:val="24"/>
          <w:u w:val="single"/>
        </w:rPr>
        <w:t>。</w:t>
      </w:r>
    </w:p>
    <w:p>
      <w:pPr>
        <w:autoSpaceDE w:val="0"/>
        <w:autoSpaceDN w:val="0"/>
        <w:snapToGrid w:val="0"/>
        <w:spacing w:line="360" w:lineRule="auto"/>
        <w:jc w:val="left"/>
        <w:rPr>
          <w:color w:val="auto"/>
          <w:sz w:val="24"/>
          <w:szCs w:val="24"/>
        </w:rPr>
      </w:pPr>
      <w:r>
        <w:rPr>
          <w:rFonts w:hint="eastAsia" w:cs="宋体"/>
          <w:color w:val="auto"/>
          <w:sz w:val="24"/>
          <w:szCs w:val="24"/>
        </w:rPr>
        <w:t>系（投标人名称）的法定代表人。</w:t>
      </w:r>
    </w:p>
    <w:p>
      <w:pPr>
        <w:autoSpaceDE w:val="0"/>
        <w:autoSpaceDN w:val="0"/>
        <w:snapToGrid w:val="0"/>
        <w:spacing w:line="360" w:lineRule="auto"/>
        <w:jc w:val="left"/>
        <w:rPr>
          <w:color w:val="auto"/>
          <w:sz w:val="24"/>
          <w:szCs w:val="24"/>
        </w:rPr>
      </w:pPr>
      <w:r>
        <w:rPr>
          <w:rFonts w:hint="eastAsia" w:cs="宋体"/>
          <w:color w:val="auto"/>
          <w:sz w:val="24"/>
          <w:szCs w:val="24"/>
        </w:rPr>
        <w:t>特此证明。</w:t>
      </w:r>
    </w:p>
    <w:p>
      <w:pPr>
        <w:autoSpaceDE w:val="0"/>
        <w:autoSpaceDN w:val="0"/>
        <w:snapToGrid w:val="0"/>
        <w:spacing w:line="360" w:lineRule="auto"/>
        <w:ind w:firstLine="600"/>
        <w:jc w:val="left"/>
        <w:rPr>
          <w:color w:val="auto"/>
          <w:sz w:val="24"/>
          <w:szCs w:val="24"/>
        </w:rPr>
      </w:pPr>
    </w:p>
    <w:p>
      <w:pPr>
        <w:autoSpaceDE w:val="0"/>
        <w:autoSpaceDN w:val="0"/>
        <w:snapToGrid w:val="0"/>
        <w:spacing w:line="200" w:lineRule="exact"/>
        <w:jc w:val="left"/>
        <w:rPr>
          <w:color w:val="auto"/>
          <w:sz w:val="20"/>
          <w:szCs w:val="20"/>
        </w:rPr>
      </w:pPr>
    </w:p>
    <w:p>
      <w:pPr>
        <w:autoSpaceDE w:val="0"/>
        <w:autoSpaceDN w:val="0"/>
        <w:snapToGrid w:val="0"/>
        <w:spacing w:line="360" w:lineRule="auto"/>
        <w:jc w:val="left"/>
        <w:rPr>
          <w:rFonts w:cs="Times New Roman"/>
          <w:color w:val="auto"/>
        </w:rPr>
      </w:pPr>
      <w:r>
        <w:rPr>
          <w:rFonts w:hint="eastAsia" w:cs="宋体"/>
          <w:color w:val="auto"/>
        </w:rPr>
        <w:t>附：法定代表人身份证复印件。</w:t>
      </w:r>
    </w:p>
    <w:p>
      <w:pPr>
        <w:autoSpaceDE w:val="0"/>
        <w:autoSpaceDN w:val="0"/>
        <w:snapToGrid w:val="0"/>
        <w:spacing w:line="360" w:lineRule="auto"/>
        <w:jc w:val="left"/>
        <w:rPr>
          <w:rFonts w:cs="Times New Roman"/>
          <w:color w:val="auto"/>
        </w:rPr>
      </w:pPr>
    </w:p>
    <w:p>
      <w:pPr>
        <w:autoSpaceDE w:val="0"/>
        <w:autoSpaceDN w:val="0"/>
        <w:snapToGrid w:val="0"/>
        <w:spacing w:line="360" w:lineRule="auto"/>
        <w:jc w:val="left"/>
        <w:rPr>
          <w:color w:val="auto"/>
          <w:sz w:val="24"/>
          <w:szCs w:val="24"/>
        </w:rPr>
      </w:pPr>
    </w:p>
    <w:p>
      <w:pPr>
        <w:autoSpaceDE w:val="0"/>
        <w:autoSpaceDN w:val="0"/>
        <w:snapToGrid w:val="0"/>
        <w:spacing w:line="360" w:lineRule="auto"/>
        <w:ind w:firstLine="3960"/>
        <w:jc w:val="left"/>
        <w:rPr>
          <w:rFonts w:cs="Times New Roman"/>
          <w:color w:val="auto"/>
          <w:sz w:val="24"/>
          <w:szCs w:val="24"/>
        </w:rPr>
      </w:pPr>
      <w:r>
        <w:rPr>
          <w:rFonts w:hint="eastAsia" w:cs="宋体"/>
          <w:color w:val="auto"/>
          <w:sz w:val="24"/>
          <w:szCs w:val="24"/>
        </w:rPr>
        <w:t>投标人：（盖单位章）</w:t>
      </w:r>
    </w:p>
    <w:p>
      <w:pPr>
        <w:autoSpaceDE w:val="0"/>
        <w:autoSpaceDN w:val="0"/>
        <w:snapToGrid w:val="0"/>
        <w:spacing w:line="360" w:lineRule="auto"/>
        <w:ind w:firstLine="3960"/>
        <w:jc w:val="left"/>
        <w:rPr>
          <w:rFonts w:cs="Times New Roman"/>
          <w:color w:val="auto"/>
          <w:sz w:val="24"/>
          <w:szCs w:val="24"/>
          <w:u w:val="single"/>
        </w:rPr>
      </w:pPr>
    </w:p>
    <w:p>
      <w:pPr>
        <w:autoSpaceDE w:val="0"/>
        <w:autoSpaceDN w:val="0"/>
        <w:snapToGrid w:val="0"/>
        <w:spacing w:line="360" w:lineRule="auto"/>
        <w:ind w:right="240"/>
        <w:jc w:val="right"/>
        <w:rPr>
          <w:color w:val="auto"/>
          <w:sz w:val="24"/>
          <w:szCs w:val="24"/>
        </w:rPr>
      </w:pPr>
      <w:r>
        <w:rPr>
          <w:rFonts w:hint="eastAsia" w:cs="宋体"/>
          <w:color w:val="auto"/>
          <w:sz w:val="24"/>
          <w:szCs w:val="24"/>
        </w:rPr>
        <w:t>年月日</w:t>
      </w:r>
    </w:p>
    <w:p>
      <w:pPr>
        <w:autoSpaceDE w:val="0"/>
        <w:autoSpaceDN w:val="0"/>
        <w:adjustRightInd w:val="0"/>
        <w:spacing w:line="360" w:lineRule="auto"/>
        <w:ind w:left="102"/>
        <w:jc w:val="left"/>
        <w:rPr>
          <w:rFonts w:cs="Times New Roman"/>
          <w:color w:val="auto"/>
          <w:kern w:val="0"/>
        </w:rPr>
      </w:pPr>
    </w:p>
    <w:p>
      <w:pPr>
        <w:autoSpaceDE w:val="0"/>
        <w:autoSpaceDN w:val="0"/>
        <w:adjustRightInd w:val="0"/>
        <w:spacing w:line="360" w:lineRule="auto"/>
        <w:ind w:left="102"/>
        <w:jc w:val="left"/>
        <w:rPr>
          <w:rFonts w:cs="Times New Roman"/>
          <w:color w:val="auto"/>
          <w:kern w:val="0"/>
        </w:rPr>
      </w:pPr>
      <w:r>
        <w:rPr>
          <w:rFonts w:hint="eastAsia" w:cs="宋体"/>
          <w:color w:val="auto"/>
          <w:kern w:val="0"/>
        </w:rPr>
        <w:t>注：法定代表人的签字必须是亲笔签名，不得使用印章、签名章或其他电子制版签名代替。</w:t>
      </w:r>
    </w:p>
    <w:p>
      <w:pPr>
        <w:autoSpaceDE w:val="0"/>
        <w:autoSpaceDN w:val="0"/>
        <w:snapToGrid w:val="0"/>
        <w:spacing w:line="341" w:lineRule="exact"/>
        <w:ind w:right="33"/>
        <w:jc w:val="center"/>
        <w:rPr>
          <w:rFonts w:ascii="黑体" w:eastAsia="黑体" w:cs="Times New Roman"/>
          <w:b/>
          <w:bCs/>
          <w:color w:val="auto"/>
          <w:sz w:val="30"/>
          <w:szCs w:val="30"/>
        </w:rPr>
      </w:pPr>
      <w:r>
        <w:rPr>
          <w:color w:val="auto"/>
        </w:rPr>
        <w:br w:type="page"/>
      </w:r>
      <w:r>
        <w:rPr>
          <w:rFonts w:hint="eastAsia" w:ascii="黑体" w:eastAsia="黑体" w:cs="黑体"/>
          <w:b/>
          <w:bCs/>
          <w:color w:val="auto"/>
          <w:position w:val="-3"/>
          <w:sz w:val="30"/>
          <w:szCs w:val="30"/>
        </w:rPr>
        <w:t>三、联</w:t>
      </w:r>
      <w:r>
        <w:rPr>
          <w:rFonts w:hint="eastAsia" w:ascii="黑体" w:eastAsia="黑体" w:cs="黑体"/>
          <w:b/>
          <w:bCs/>
          <w:color w:val="auto"/>
          <w:spacing w:val="-3"/>
          <w:position w:val="-3"/>
          <w:sz w:val="30"/>
          <w:szCs w:val="30"/>
        </w:rPr>
        <w:t>合</w:t>
      </w:r>
      <w:r>
        <w:rPr>
          <w:rFonts w:hint="eastAsia" w:ascii="黑体" w:eastAsia="黑体" w:cs="黑体"/>
          <w:b/>
          <w:bCs/>
          <w:color w:val="auto"/>
          <w:position w:val="-3"/>
          <w:sz w:val="30"/>
          <w:szCs w:val="30"/>
        </w:rPr>
        <w:t>体协</w:t>
      </w:r>
      <w:r>
        <w:rPr>
          <w:rFonts w:hint="eastAsia" w:ascii="黑体" w:eastAsia="黑体" w:cs="黑体"/>
          <w:b/>
          <w:bCs/>
          <w:color w:val="auto"/>
          <w:spacing w:val="-3"/>
          <w:position w:val="-3"/>
          <w:sz w:val="30"/>
          <w:szCs w:val="30"/>
        </w:rPr>
        <w:t>议</w:t>
      </w:r>
      <w:r>
        <w:rPr>
          <w:rFonts w:hint="eastAsia" w:ascii="黑体" w:eastAsia="黑体" w:cs="黑体"/>
          <w:b/>
          <w:bCs/>
          <w:color w:val="auto"/>
          <w:position w:val="-3"/>
          <w:sz w:val="30"/>
          <w:szCs w:val="30"/>
        </w:rPr>
        <w:t>书</w:t>
      </w:r>
    </w:p>
    <w:p>
      <w:pPr>
        <w:autoSpaceDE w:val="0"/>
        <w:autoSpaceDN w:val="0"/>
        <w:snapToGrid w:val="0"/>
        <w:spacing w:before="1" w:line="150" w:lineRule="exact"/>
        <w:jc w:val="left"/>
        <w:rPr>
          <w:rFonts w:ascii="黑体" w:eastAsia="黑体" w:cs="Times New Roman"/>
          <w:color w:val="auto"/>
          <w:sz w:val="15"/>
          <w:szCs w:val="15"/>
        </w:rPr>
      </w:pPr>
    </w:p>
    <w:p>
      <w:pPr>
        <w:autoSpaceDE w:val="0"/>
        <w:autoSpaceDN w:val="0"/>
        <w:snapToGrid w:val="0"/>
        <w:spacing w:line="200" w:lineRule="exact"/>
        <w:jc w:val="left"/>
        <w:rPr>
          <w:rFonts w:ascii="黑体" w:eastAsia="黑体" w:cs="Times New Roman"/>
          <w:color w:val="auto"/>
          <w:sz w:val="20"/>
          <w:szCs w:val="20"/>
        </w:rPr>
      </w:pPr>
    </w:p>
    <w:p>
      <w:pPr>
        <w:tabs>
          <w:tab w:val="left" w:pos="1905"/>
          <w:tab w:val="left" w:pos="8340"/>
        </w:tabs>
        <w:autoSpaceDE w:val="0"/>
        <w:autoSpaceDN w:val="0"/>
        <w:snapToGrid w:val="0"/>
        <w:spacing w:line="400" w:lineRule="atLeast"/>
        <w:ind w:firstLine="480"/>
        <w:jc w:val="left"/>
        <w:rPr>
          <w:rFonts w:ascii="宋体" w:cs="Times New Roman"/>
          <w:color w:val="auto"/>
          <w:sz w:val="24"/>
          <w:szCs w:val="24"/>
        </w:rPr>
      </w:pPr>
      <w:r>
        <w:rPr>
          <w:rFonts w:eastAsia="黑体"/>
          <w:color w:val="auto"/>
          <w:position w:val="-1"/>
          <w:sz w:val="24"/>
          <w:szCs w:val="24"/>
          <w:u w:val="single"/>
        </w:rPr>
        <w:tab/>
      </w:r>
      <w:r>
        <w:rPr>
          <w:rFonts w:hint="eastAsia" w:eastAsia="黑体" w:cs="黑体"/>
          <w:color w:val="auto"/>
          <w:spacing w:val="-1"/>
          <w:position w:val="-1"/>
          <w:sz w:val="24"/>
          <w:szCs w:val="24"/>
        </w:rPr>
        <w:t>（</w:t>
      </w:r>
      <w:r>
        <w:rPr>
          <w:rFonts w:hint="eastAsia" w:ascii="宋体" w:cs="宋体"/>
          <w:color w:val="auto"/>
          <w:position w:val="-1"/>
          <w:sz w:val="24"/>
          <w:szCs w:val="24"/>
        </w:rPr>
        <w:t>所有成员单位名称</w:t>
      </w:r>
      <w:r>
        <w:rPr>
          <w:rFonts w:hint="eastAsia" w:cs="宋体"/>
          <w:color w:val="auto"/>
          <w:spacing w:val="-1"/>
          <w:position w:val="-1"/>
          <w:sz w:val="24"/>
          <w:szCs w:val="24"/>
        </w:rPr>
        <w:t>）</w:t>
      </w:r>
      <w:r>
        <w:rPr>
          <w:rFonts w:hint="eastAsia" w:ascii="宋体" w:cs="宋体"/>
          <w:color w:val="auto"/>
          <w:position w:val="-1"/>
          <w:sz w:val="24"/>
          <w:szCs w:val="24"/>
        </w:rPr>
        <w:t>自愿组成（联合体名称）联合体</w:t>
      </w:r>
      <w:r>
        <w:rPr>
          <w:rFonts w:hint="eastAsia" w:ascii="宋体" w:cs="宋体"/>
          <w:color w:val="auto"/>
          <w:spacing w:val="-79"/>
          <w:position w:val="-1"/>
          <w:sz w:val="24"/>
          <w:szCs w:val="24"/>
        </w:rPr>
        <w:t>，</w:t>
      </w:r>
      <w:r>
        <w:rPr>
          <w:rFonts w:hint="eastAsia" w:ascii="宋体" w:cs="宋体"/>
          <w:color w:val="auto"/>
          <w:position w:val="-1"/>
          <w:sz w:val="24"/>
          <w:szCs w:val="24"/>
        </w:rPr>
        <w:t>共同参加</w:t>
      </w:r>
      <w:r>
        <w:rPr>
          <w:rFonts w:ascii="宋体" w:cs="宋体"/>
          <w:color w:val="auto"/>
          <w:position w:val="-1"/>
          <w:sz w:val="24"/>
          <w:szCs w:val="24"/>
        </w:rPr>
        <w:t>_________</w:t>
      </w:r>
      <w:r>
        <w:rPr>
          <w:rFonts w:hint="eastAsia" w:cs="宋体"/>
          <w:color w:val="auto"/>
          <w:spacing w:val="-1"/>
          <w:position w:val="-1"/>
          <w:sz w:val="24"/>
          <w:szCs w:val="24"/>
        </w:rPr>
        <w:t>（</w:t>
      </w:r>
      <w:r>
        <w:rPr>
          <w:rFonts w:hint="eastAsia" w:ascii="宋体" w:cs="宋体"/>
          <w:color w:val="auto"/>
          <w:position w:val="-1"/>
          <w:sz w:val="24"/>
          <w:szCs w:val="24"/>
        </w:rPr>
        <w:t>项</w:t>
      </w:r>
      <w:r>
        <w:rPr>
          <w:rFonts w:hint="eastAsia" w:ascii="宋体" w:cs="宋体"/>
          <w:color w:val="auto"/>
          <w:sz w:val="24"/>
          <w:szCs w:val="24"/>
        </w:rPr>
        <w:t>目名称</w:t>
      </w:r>
      <w:r>
        <w:rPr>
          <w:rFonts w:hint="eastAsia" w:cs="宋体"/>
          <w:color w:val="auto"/>
          <w:spacing w:val="-1"/>
          <w:sz w:val="24"/>
          <w:szCs w:val="24"/>
        </w:rPr>
        <w:t>）标段</w:t>
      </w:r>
      <w:r>
        <w:rPr>
          <w:rFonts w:hint="eastAsia" w:ascii="宋体" w:cs="宋体"/>
          <w:color w:val="auto"/>
          <w:sz w:val="24"/>
          <w:szCs w:val="24"/>
        </w:rPr>
        <w:t>勘察投标。现就联合体投标事宜订立如下协议。</w:t>
      </w:r>
    </w:p>
    <w:p>
      <w:pPr>
        <w:tabs>
          <w:tab w:val="left" w:pos="1860"/>
        </w:tabs>
        <w:autoSpaceDE w:val="0"/>
        <w:autoSpaceDN w:val="0"/>
        <w:snapToGrid w:val="0"/>
        <w:spacing w:line="400" w:lineRule="atLeast"/>
        <w:ind w:firstLine="480"/>
        <w:jc w:val="left"/>
        <w:rPr>
          <w:rFonts w:ascii="宋体" w:cs="Times New Roman"/>
          <w:color w:val="auto"/>
          <w:sz w:val="24"/>
          <w:szCs w:val="24"/>
        </w:rPr>
      </w:pPr>
      <w:r>
        <w:rPr>
          <w:color w:val="auto"/>
          <w:sz w:val="24"/>
          <w:szCs w:val="24"/>
        </w:rPr>
        <w:t>1.</w:t>
      </w:r>
      <w:r>
        <w:rPr>
          <w:color w:val="auto"/>
          <w:sz w:val="24"/>
          <w:szCs w:val="24"/>
          <w:u w:val="single"/>
        </w:rPr>
        <w:tab/>
      </w:r>
      <w:r>
        <w:rPr>
          <w:rFonts w:hint="eastAsia" w:cs="宋体"/>
          <w:color w:val="auto"/>
          <w:spacing w:val="-1"/>
          <w:sz w:val="24"/>
          <w:szCs w:val="24"/>
        </w:rPr>
        <w:t>（</w:t>
      </w:r>
      <w:r>
        <w:rPr>
          <w:rFonts w:hint="eastAsia" w:ascii="宋体" w:cs="宋体"/>
          <w:color w:val="auto"/>
          <w:sz w:val="24"/>
          <w:szCs w:val="24"/>
        </w:rPr>
        <w:t>某成员单位名</w:t>
      </w:r>
      <w:r>
        <w:rPr>
          <w:rFonts w:hint="eastAsia" w:ascii="宋体" w:cs="宋体"/>
          <w:color w:val="auto"/>
          <w:spacing w:val="1"/>
          <w:sz w:val="24"/>
          <w:szCs w:val="24"/>
        </w:rPr>
        <w:t>称</w:t>
      </w:r>
      <w:r>
        <w:rPr>
          <w:rFonts w:hint="eastAsia" w:cs="宋体"/>
          <w:color w:val="auto"/>
          <w:spacing w:val="-1"/>
          <w:sz w:val="24"/>
          <w:szCs w:val="24"/>
        </w:rPr>
        <w:t>）</w:t>
      </w:r>
      <w:r>
        <w:rPr>
          <w:rFonts w:hint="eastAsia" w:ascii="宋体" w:cs="宋体"/>
          <w:color w:val="auto"/>
          <w:sz w:val="24"/>
          <w:szCs w:val="24"/>
        </w:rPr>
        <w:t>为（联合体名称）牵头人。</w:t>
      </w:r>
    </w:p>
    <w:p>
      <w:pPr>
        <w:autoSpaceDE w:val="0"/>
        <w:autoSpaceDN w:val="0"/>
        <w:snapToGrid w:val="0"/>
        <w:spacing w:line="400" w:lineRule="atLeast"/>
        <w:ind w:right="-44" w:firstLine="480"/>
        <w:jc w:val="left"/>
        <w:rPr>
          <w:rFonts w:ascii="宋体" w:cs="Times New Roman"/>
          <w:color w:val="auto"/>
          <w:sz w:val="24"/>
          <w:szCs w:val="24"/>
        </w:rPr>
      </w:pPr>
      <w:r>
        <w:rPr>
          <w:color w:val="auto"/>
          <w:sz w:val="24"/>
          <w:szCs w:val="24"/>
        </w:rPr>
        <w:t>2</w:t>
      </w:r>
      <w:r>
        <w:rPr>
          <w:color w:val="auto"/>
          <w:spacing w:val="2"/>
          <w:sz w:val="24"/>
          <w:szCs w:val="24"/>
        </w:rPr>
        <w:t>.</w:t>
      </w:r>
      <w:r>
        <w:rPr>
          <w:rFonts w:hint="eastAsia" w:ascii="宋体" w:cs="宋体"/>
          <w:color w:val="auto"/>
          <w:spacing w:val="2"/>
          <w:sz w:val="24"/>
          <w:szCs w:val="24"/>
        </w:rPr>
        <w:t>联合体各成员授权牵头人代表联合体参加投标活动，签署文件，提交和接收相关的资料、信息及指示，进行合同谈判活动，负责合同实施阶段的组织和协调工作，以及处理与本招标项目有关的一切事宜。</w:t>
      </w:r>
    </w:p>
    <w:p>
      <w:pPr>
        <w:autoSpaceDE w:val="0"/>
        <w:autoSpaceDN w:val="0"/>
        <w:snapToGrid w:val="0"/>
        <w:spacing w:line="400" w:lineRule="atLeast"/>
        <w:ind w:right="166" w:firstLine="480"/>
        <w:jc w:val="left"/>
        <w:rPr>
          <w:rFonts w:ascii="宋体" w:cs="Times New Roman"/>
          <w:color w:val="auto"/>
          <w:sz w:val="24"/>
          <w:szCs w:val="24"/>
        </w:rPr>
      </w:pPr>
      <w:r>
        <w:rPr>
          <w:color w:val="auto"/>
          <w:sz w:val="24"/>
          <w:szCs w:val="24"/>
        </w:rPr>
        <w:t>3</w:t>
      </w:r>
      <w:r>
        <w:rPr>
          <w:color w:val="auto"/>
          <w:spacing w:val="2"/>
          <w:sz w:val="24"/>
          <w:szCs w:val="24"/>
        </w:rPr>
        <w:t>.</w:t>
      </w:r>
      <w:r>
        <w:rPr>
          <w:rFonts w:hint="eastAsia" w:ascii="宋体" w:cs="宋体"/>
          <w:color w:val="auto"/>
          <w:spacing w:val="2"/>
          <w:sz w:val="24"/>
          <w:szCs w:val="24"/>
        </w:rPr>
        <w:t>联合体牵头人在本项目中签署的一切文件和处理的一切事宜，联合体各成员均予以承认。联合体各成员将严格按照招标文件、投标文件和合同的要求全面履行义务，并向招标人承担连带责任。</w:t>
      </w:r>
    </w:p>
    <w:p>
      <w:pPr>
        <w:autoSpaceDE w:val="0"/>
        <w:autoSpaceDN w:val="0"/>
        <w:snapToGrid w:val="0"/>
        <w:spacing w:line="400" w:lineRule="atLeast"/>
        <w:ind w:right="171" w:firstLine="480"/>
        <w:jc w:val="left"/>
        <w:rPr>
          <w:rFonts w:ascii="宋体" w:cs="宋体"/>
          <w:color w:val="auto"/>
          <w:sz w:val="24"/>
          <w:szCs w:val="24"/>
        </w:rPr>
      </w:pPr>
      <w:r>
        <w:rPr>
          <w:color w:val="auto"/>
          <w:sz w:val="24"/>
          <w:szCs w:val="24"/>
        </w:rPr>
        <w:t>4.</w:t>
      </w:r>
      <w:r>
        <w:rPr>
          <w:rFonts w:hint="eastAsia" w:ascii="宋体" w:cs="宋体"/>
          <w:color w:val="auto"/>
          <w:sz w:val="24"/>
          <w:szCs w:val="24"/>
        </w:rPr>
        <w:t>联合体各成员单</w:t>
      </w:r>
      <w:r>
        <w:rPr>
          <w:rFonts w:hint="eastAsia" w:ascii="宋体" w:cs="宋体"/>
          <w:color w:val="auto"/>
          <w:spacing w:val="1"/>
          <w:sz w:val="24"/>
          <w:szCs w:val="24"/>
        </w:rPr>
        <w:t>位</w:t>
      </w:r>
      <w:r>
        <w:rPr>
          <w:rFonts w:hint="eastAsia" w:ascii="宋体" w:cs="宋体"/>
          <w:color w:val="auto"/>
          <w:sz w:val="24"/>
          <w:szCs w:val="24"/>
        </w:rPr>
        <w:t>内部的职责分工如下：</w:t>
      </w:r>
      <w:r>
        <w:rPr>
          <w:rFonts w:hint="eastAsia" w:cs="宋体"/>
          <w:color w:val="auto"/>
          <w:spacing w:val="-1"/>
          <w:sz w:val="24"/>
          <w:szCs w:val="24"/>
        </w:rPr>
        <w:t>（</w:t>
      </w:r>
      <w:r>
        <w:rPr>
          <w:rFonts w:hint="eastAsia" w:ascii="宋体" w:cs="宋体"/>
          <w:color w:val="auto"/>
          <w:sz w:val="24"/>
          <w:szCs w:val="24"/>
        </w:rPr>
        <w:t>牵头人名称</w:t>
      </w:r>
      <w:r>
        <w:rPr>
          <w:rFonts w:hint="eastAsia" w:cs="宋体"/>
          <w:color w:val="auto"/>
          <w:spacing w:val="-1"/>
          <w:sz w:val="24"/>
          <w:szCs w:val="24"/>
        </w:rPr>
        <w:t>）</w:t>
      </w:r>
      <w:r>
        <w:rPr>
          <w:rFonts w:hint="eastAsia" w:ascii="宋体" w:cs="宋体"/>
          <w:color w:val="auto"/>
          <w:sz w:val="24"/>
          <w:szCs w:val="24"/>
        </w:rPr>
        <w:t>承担</w:t>
      </w:r>
      <w:r>
        <w:rPr>
          <w:rFonts w:ascii="宋体" w:cs="宋体"/>
          <w:color w:val="auto"/>
          <w:sz w:val="24"/>
          <w:szCs w:val="24"/>
          <w:u w:val="single"/>
        </w:rPr>
        <w:t>______</w:t>
      </w:r>
      <w:r>
        <w:rPr>
          <w:rFonts w:hint="eastAsia" w:ascii="宋体" w:cs="宋体"/>
          <w:color w:val="auto"/>
          <w:sz w:val="24"/>
          <w:szCs w:val="24"/>
        </w:rPr>
        <w:t>专业工程</w:t>
      </w:r>
      <w:r>
        <w:rPr>
          <w:rFonts w:hint="eastAsia" w:ascii="宋体" w:cs="宋体"/>
          <w:color w:val="auto"/>
          <w:spacing w:val="-93"/>
          <w:sz w:val="24"/>
          <w:szCs w:val="24"/>
        </w:rPr>
        <w:t>；</w:t>
      </w:r>
      <w:r>
        <w:rPr>
          <w:rFonts w:hint="eastAsia" w:cs="宋体"/>
          <w:color w:val="auto"/>
          <w:spacing w:val="2"/>
          <w:sz w:val="24"/>
          <w:szCs w:val="24"/>
        </w:rPr>
        <w:t>占总工程量的</w:t>
      </w:r>
      <w:r>
        <w:rPr>
          <w:color w:val="auto"/>
          <w:spacing w:val="2"/>
          <w:sz w:val="24"/>
          <w:szCs w:val="24"/>
        </w:rPr>
        <w:t>%</w:t>
      </w:r>
      <w:r>
        <w:rPr>
          <w:rFonts w:hint="eastAsia" w:cs="宋体"/>
          <w:color w:val="auto"/>
          <w:spacing w:val="2"/>
          <w:sz w:val="24"/>
          <w:szCs w:val="24"/>
        </w:rPr>
        <w:t>；（</w:t>
      </w:r>
      <w:r>
        <w:rPr>
          <w:rFonts w:hint="eastAsia" w:ascii="宋体" w:cs="宋体"/>
          <w:color w:val="auto"/>
          <w:sz w:val="24"/>
          <w:szCs w:val="24"/>
        </w:rPr>
        <w:t>成员一名称</w:t>
      </w:r>
      <w:r>
        <w:rPr>
          <w:rFonts w:hint="eastAsia" w:cs="宋体"/>
          <w:color w:val="auto"/>
          <w:spacing w:val="-1"/>
          <w:sz w:val="24"/>
          <w:szCs w:val="24"/>
        </w:rPr>
        <w:t>）</w:t>
      </w:r>
      <w:r>
        <w:rPr>
          <w:rFonts w:hint="eastAsia" w:ascii="宋体" w:cs="宋体"/>
          <w:color w:val="auto"/>
          <w:sz w:val="24"/>
          <w:szCs w:val="24"/>
        </w:rPr>
        <w:t>承担</w:t>
      </w:r>
      <w:r>
        <w:rPr>
          <w:rFonts w:ascii="宋体" w:cs="宋体"/>
          <w:color w:val="auto"/>
          <w:sz w:val="24"/>
          <w:szCs w:val="24"/>
          <w:u w:val="single"/>
        </w:rPr>
        <w:tab/>
      </w:r>
      <w:r>
        <w:rPr>
          <w:rFonts w:hint="eastAsia" w:ascii="宋体" w:cs="宋体"/>
          <w:color w:val="auto"/>
          <w:sz w:val="24"/>
          <w:szCs w:val="24"/>
        </w:rPr>
        <w:t>专业工程</w:t>
      </w:r>
      <w:r>
        <w:rPr>
          <w:rFonts w:hint="eastAsia" w:ascii="宋体" w:cs="宋体"/>
          <w:color w:val="auto"/>
          <w:spacing w:val="-94"/>
          <w:sz w:val="24"/>
          <w:szCs w:val="24"/>
        </w:rPr>
        <w:t>，</w:t>
      </w:r>
      <w:r>
        <w:rPr>
          <w:rFonts w:hint="eastAsia" w:cs="宋体"/>
          <w:color w:val="auto"/>
          <w:spacing w:val="2"/>
          <w:sz w:val="24"/>
          <w:szCs w:val="24"/>
        </w:rPr>
        <w:t>占总工程量的</w:t>
      </w:r>
      <w:r>
        <w:rPr>
          <w:color w:val="auto"/>
          <w:spacing w:val="2"/>
          <w:sz w:val="24"/>
          <w:szCs w:val="24"/>
        </w:rPr>
        <w:t>%</w:t>
      </w:r>
      <w:r>
        <w:rPr>
          <w:rFonts w:hint="eastAsia" w:cs="宋体"/>
          <w:color w:val="auto"/>
          <w:spacing w:val="2"/>
          <w:sz w:val="24"/>
          <w:szCs w:val="24"/>
        </w:rPr>
        <w:t>；</w:t>
      </w:r>
      <w:r>
        <w:rPr>
          <w:color w:val="auto"/>
          <w:spacing w:val="2"/>
          <w:sz w:val="24"/>
          <w:szCs w:val="24"/>
        </w:rPr>
        <w:t>……</w:t>
      </w:r>
      <w:r>
        <w:rPr>
          <w:rFonts w:hint="eastAsia" w:cs="宋体"/>
          <w:color w:val="auto"/>
          <w:spacing w:val="2"/>
          <w:sz w:val="24"/>
          <w:szCs w:val="24"/>
        </w:rPr>
        <w:t>。</w:t>
      </w:r>
    </w:p>
    <w:p>
      <w:pPr>
        <w:tabs>
          <w:tab w:val="left" w:pos="1065"/>
          <w:tab w:val="left" w:pos="4440"/>
          <w:tab w:val="left" w:pos="7520"/>
          <w:tab w:val="left" w:pos="7700"/>
        </w:tabs>
        <w:autoSpaceDE w:val="0"/>
        <w:autoSpaceDN w:val="0"/>
        <w:snapToGrid w:val="0"/>
        <w:spacing w:line="400" w:lineRule="atLeast"/>
        <w:ind w:right="49" w:firstLine="480"/>
        <w:jc w:val="left"/>
        <w:rPr>
          <w:rFonts w:ascii="宋体" w:cs="Times New Roman"/>
          <w:color w:val="auto"/>
          <w:sz w:val="24"/>
          <w:szCs w:val="24"/>
        </w:rPr>
      </w:pPr>
      <w:r>
        <w:rPr>
          <w:color w:val="auto"/>
          <w:sz w:val="24"/>
          <w:szCs w:val="24"/>
        </w:rPr>
        <w:t xml:space="preserve">5. </w:t>
      </w:r>
      <w:r>
        <w:rPr>
          <w:rFonts w:hint="eastAsia" w:ascii="宋体" w:cs="宋体"/>
          <w:color w:val="auto"/>
          <w:spacing w:val="7"/>
          <w:sz w:val="24"/>
          <w:szCs w:val="24"/>
        </w:rPr>
        <w:t>投标工作和联合体</w:t>
      </w:r>
      <w:r>
        <w:rPr>
          <w:rFonts w:hint="eastAsia" w:ascii="宋体" w:cs="宋体"/>
          <w:color w:val="auto"/>
          <w:spacing w:val="5"/>
          <w:sz w:val="24"/>
          <w:szCs w:val="24"/>
        </w:rPr>
        <w:t>在</w:t>
      </w:r>
      <w:r>
        <w:rPr>
          <w:rFonts w:hint="eastAsia" w:ascii="宋体" w:cs="宋体"/>
          <w:color w:val="auto"/>
          <w:spacing w:val="7"/>
          <w:sz w:val="24"/>
          <w:szCs w:val="24"/>
        </w:rPr>
        <w:t>中标后工程实施过</w:t>
      </w:r>
      <w:r>
        <w:rPr>
          <w:rFonts w:hint="eastAsia" w:ascii="宋体" w:cs="宋体"/>
          <w:color w:val="auto"/>
          <w:spacing w:val="5"/>
          <w:sz w:val="24"/>
          <w:szCs w:val="24"/>
        </w:rPr>
        <w:t>程</w:t>
      </w:r>
      <w:r>
        <w:rPr>
          <w:rFonts w:hint="eastAsia" w:ascii="宋体" w:cs="宋体"/>
          <w:color w:val="auto"/>
          <w:spacing w:val="7"/>
          <w:sz w:val="24"/>
          <w:szCs w:val="24"/>
        </w:rPr>
        <w:t>中的有关费用按各</w:t>
      </w:r>
      <w:r>
        <w:rPr>
          <w:rFonts w:hint="eastAsia" w:ascii="宋体" w:cs="宋体"/>
          <w:color w:val="auto"/>
          <w:spacing w:val="5"/>
          <w:sz w:val="24"/>
          <w:szCs w:val="24"/>
        </w:rPr>
        <w:t>自</w:t>
      </w:r>
      <w:r>
        <w:rPr>
          <w:rFonts w:hint="eastAsia" w:ascii="宋体" w:cs="宋体"/>
          <w:color w:val="auto"/>
          <w:spacing w:val="7"/>
          <w:sz w:val="24"/>
          <w:szCs w:val="24"/>
        </w:rPr>
        <w:t>承担的工作</w:t>
      </w:r>
      <w:r>
        <w:rPr>
          <w:rFonts w:hint="eastAsia" w:ascii="宋体" w:cs="宋体"/>
          <w:color w:val="auto"/>
          <w:sz w:val="24"/>
          <w:szCs w:val="24"/>
        </w:rPr>
        <w:t>量分摊。</w:t>
      </w:r>
    </w:p>
    <w:p>
      <w:pPr>
        <w:autoSpaceDE w:val="0"/>
        <w:autoSpaceDN w:val="0"/>
        <w:snapToGrid w:val="0"/>
        <w:spacing w:line="400" w:lineRule="atLeast"/>
        <w:ind w:right="161" w:firstLine="480"/>
        <w:jc w:val="left"/>
        <w:rPr>
          <w:rFonts w:ascii="宋体" w:cs="Times New Roman"/>
          <w:color w:val="auto"/>
          <w:sz w:val="24"/>
          <w:szCs w:val="24"/>
        </w:rPr>
      </w:pPr>
      <w:r>
        <w:rPr>
          <w:color w:val="auto"/>
          <w:sz w:val="24"/>
          <w:szCs w:val="24"/>
        </w:rPr>
        <w:t>6</w:t>
      </w:r>
      <w:r>
        <w:rPr>
          <w:color w:val="auto"/>
          <w:spacing w:val="7"/>
          <w:sz w:val="24"/>
          <w:szCs w:val="24"/>
        </w:rPr>
        <w:t xml:space="preserve">. </w:t>
      </w:r>
      <w:r>
        <w:rPr>
          <w:rFonts w:hint="eastAsia" w:ascii="宋体" w:cs="宋体"/>
          <w:color w:val="auto"/>
          <w:sz w:val="24"/>
          <w:szCs w:val="24"/>
        </w:rPr>
        <w:t>本协议书自所有成员单位法定代表人签字或盖单位章之日起生效，合同履行</w:t>
      </w:r>
      <w:r>
        <w:rPr>
          <w:rFonts w:ascii="宋体" w:cs="Times New Roman"/>
          <w:color w:val="auto"/>
          <w:sz w:val="24"/>
          <w:szCs w:val="24"/>
        </w:rPr>
        <w:t> </w:t>
      </w:r>
      <w:r>
        <w:rPr>
          <w:rFonts w:hint="eastAsia" w:ascii="宋体" w:cs="宋体"/>
          <w:color w:val="auto"/>
          <w:sz w:val="24"/>
          <w:szCs w:val="24"/>
        </w:rPr>
        <w:t>完毕后自动失效。</w:t>
      </w:r>
    </w:p>
    <w:p>
      <w:pPr>
        <w:autoSpaceDE w:val="0"/>
        <w:autoSpaceDN w:val="0"/>
        <w:snapToGrid w:val="0"/>
        <w:spacing w:line="400" w:lineRule="atLeast"/>
        <w:ind w:firstLine="480"/>
        <w:jc w:val="left"/>
        <w:rPr>
          <w:rFonts w:ascii="宋体" w:cs="Times New Roman"/>
          <w:color w:val="auto"/>
          <w:sz w:val="24"/>
          <w:szCs w:val="24"/>
        </w:rPr>
      </w:pPr>
      <w:r>
        <w:rPr>
          <w:color w:val="auto"/>
          <w:sz w:val="24"/>
          <w:szCs w:val="24"/>
        </w:rPr>
        <w:t xml:space="preserve">7. </w:t>
      </w:r>
      <w:r>
        <w:rPr>
          <w:rFonts w:hint="eastAsia" w:ascii="宋体" w:cs="宋体"/>
          <w:color w:val="auto"/>
          <w:sz w:val="24"/>
          <w:szCs w:val="24"/>
        </w:rPr>
        <w:t>本协议书一式</w:t>
      </w:r>
      <w:r>
        <w:rPr>
          <w:rFonts w:ascii="宋体" w:cs="宋体"/>
          <w:color w:val="auto"/>
          <w:sz w:val="24"/>
          <w:szCs w:val="24"/>
          <w:u w:val="single"/>
        </w:rPr>
        <w:tab/>
      </w:r>
      <w:r>
        <w:rPr>
          <w:rFonts w:hint="eastAsia" w:ascii="宋体" w:cs="宋体"/>
          <w:color w:val="auto"/>
          <w:sz w:val="24"/>
          <w:szCs w:val="24"/>
        </w:rPr>
        <w:t>份，联合体成员和招标人各执一份。</w:t>
      </w:r>
    </w:p>
    <w:p>
      <w:pPr>
        <w:autoSpaceDE w:val="0"/>
        <w:autoSpaceDN w:val="0"/>
        <w:snapToGrid w:val="0"/>
        <w:spacing w:line="400" w:lineRule="atLeast"/>
        <w:ind w:firstLine="480"/>
        <w:jc w:val="left"/>
        <w:rPr>
          <w:rFonts w:ascii="宋体" w:cs="Times New Roman"/>
          <w:color w:val="auto"/>
          <w:sz w:val="22"/>
          <w:szCs w:val="22"/>
        </w:rPr>
      </w:pPr>
    </w:p>
    <w:p>
      <w:pPr>
        <w:tabs>
          <w:tab w:val="left" w:pos="8250"/>
        </w:tabs>
        <w:autoSpaceDE w:val="0"/>
        <w:autoSpaceDN w:val="0"/>
        <w:snapToGrid w:val="0"/>
        <w:spacing w:line="400" w:lineRule="atLeast"/>
        <w:ind w:left="1984" w:right="-44"/>
        <w:jc w:val="left"/>
        <w:rPr>
          <w:rFonts w:ascii="Times New Roman" w:cs="Times New Roman"/>
          <w:color w:val="auto"/>
          <w:sz w:val="24"/>
          <w:szCs w:val="24"/>
        </w:rPr>
      </w:pPr>
      <w:r>
        <w:rPr>
          <w:rFonts w:hint="eastAsia" w:ascii="宋体" w:cs="宋体"/>
          <w:color w:val="auto"/>
          <w:sz w:val="24"/>
          <w:szCs w:val="24"/>
        </w:rPr>
        <w:t>联合体牵头人名称：</w:t>
      </w:r>
      <w:r>
        <w:rPr>
          <w:rFonts w:hint="eastAsia" w:cs="宋体"/>
          <w:color w:val="auto"/>
          <w:spacing w:val="-1"/>
          <w:sz w:val="24"/>
          <w:szCs w:val="24"/>
        </w:rPr>
        <w:t>（</w:t>
      </w:r>
      <w:r>
        <w:rPr>
          <w:rFonts w:hint="eastAsia" w:ascii="宋体" w:cs="宋体"/>
          <w:color w:val="auto"/>
          <w:sz w:val="24"/>
          <w:szCs w:val="24"/>
        </w:rPr>
        <w:t>盖单位章</w:t>
      </w:r>
      <w:r>
        <w:rPr>
          <w:rFonts w:hint="eastAsia" w:cs="宋体"/>
          <w:color w:val="auto"/>
          <w:sz w:val="24"/>
          <w:szCs w:val="24"/>
        </w:rPr>
        <w:t>）</w:t>
      </w:r>
    </w:p>
    <w:p>
      <w:pPr>
        <w:tabs>
          <w:tab w:val="left" w:pos="7155"/>
        </w:tabs>
        <w:autoSpaceDE w:val="0"/>
        <w:autoSpaceDN w:val="0"/>
        <w:snapToGrid w:val="0"/>
        <w:spacing w:line="400" w:lineRule="atLeast"/>
        <w:ind w:left="1984"/>
        <w:jc w:val="left"/>
        <w:rPr>
          <w:rFonts w:cs="Times New Roman"/>
          <w:color w:val="auto"/>
          <w:sz w:val="24"/>
          <w:szCs w:val="24"/>
        </w:rPr>
      </w:pPr>
      <w:r>
        <w:rPr>
          <w:rFonts w:hint="eastAsia" w:ascii="宋体" w:cs="宋体"/>
          <w:color w:val="auto"/>
          <w:sz w:val="24"/>
          <w:szCs w:val="24"/>
        </w:rPr>
        <w:t>法定代表人：</w:t>
      </w:r>
      <w:r>
        <w:rPr>
          <w:rFonts w:hint="eastAsia" w:cs="宋体"/>
          <w:color w:val="auto"/>
          <w:spacing w:val="-1"/>
          <w:sz w:val="24"/>
          <w:szCs w:val="24"/>
        </w:rPr>
        <w:t>（</w:t>
      </w:r>
      <w:r>
        <w:rPr>
          <w:rFonts w:hint="eastAsia" w:ascii="宋体" w:cs="宋体"/>
          <w:color w:val="auto"/>
          <w:sz w:val="24"/>
          <w:szCs w:val="24"/>
        </w:rPr>
        <w:t>签字</w:t>
      </w:r>
      <w:r>
        <w:rPr>
          <w:rFonts w:hint="eastAsia" w:cs="宋体"/>
          <w:color w:val="auto"/>
          <w:sz w:val="24"/>
          <w:szCs w:val="24"/>
        </w:rPr>
        <w:t>）</w:t>
      </w:r>
    </w:p>
    <w:p>
      <w:pPr>
        <w:autoSpaceDE w:val="0"/>
        <w:autoSpaceDN w:val="0"/>
        <w:snapToGrid w:val="0"/>
        <w:spacing w:line="400" w:lineRule="atLeast"/>
        <w:ind w:left="1984"/>
        <w:jc w:val="left"/>
        <w:rPr>
          <w:rFonts w:cs="Times New Roman"/>
          <w:color w:val="auto"/>
          <w:sz w:val="22"/>
          <w:szCs w:val="22"/>
        </w:rPr>
      </w:pPr>
    </w:p>
    <w:p>
      <w:pPr>
        <w:tabs>
          <w:tab w:val="left" w:pos="6915"/>
        </w:tabs>
        <w:autoSpaceDE w:val="0"/>
        <w:autoSpaceDN w:val="0"/>
        <w:snapToGrid w:val="0"/>
        <w:spacing w:line="400" w:lineRule="atLeast"/>
        <w:ind w:left="1984"/>
        <w:jc w:val="left"/>
        <w:rPr>
          <w:rFonts w:cs="Times New Roman"/>
          <w:color w:val="auto"/>
          <w:sz w:val="24"/>
          <w:szCs w:val="24"/>
        </w:rPr>
      </w:pPr>
      <w:r>
        <w:rPr>
          <w:rFonts w:hint="eastAsia" w:ascii="宋体" w:cs="宋体"/>
          <w:color w:val="auto"/>
          <w:sz w:val="24"/>
          <w:szCs w:val="24"/>
        </w:rPr>
        <w:t>联合体成员名称：</w:t>
      </w:r>
      <w:r>
        <w:rPr>
          <w:rFonts w:cs="Times New Roman"/>
          <w:color w:val="auto"/>
          <w:sz w:val="24"/>
          <w:szCs w:val="24"/>
          <w:u w:val="single"/>
        </w:rPr>
        <w:tab/>
      </w:r>
      <w:r>
        <w:rPr>
          <w:rFonts w:hint="eastAsia" w:cs="宋体"/>
          <w:color w:val="auto"/>
          <w:spacing w:val="-1"/>
          <w:sz w:val="24"/>
          <w:szCs w:val="24"/>
        </w:rPr>
        <w:t>（</w:t>
      </w:r>
      <w:r>
        <w:rPr>
          <w:rFonts w:hint="eastAsia" w:ascii="宋体" w:cs="宋体"/>
          <w:color w:val="auto"/>
          <w:sz w:val="24"/>
          <w:szCs w:val="24"/>
        </w:rPr>
        <w:t>盖单位章</w:t>
      </w:r>
      <w:r>
        <w:rPr>
          <w:rFonts w:hint="eastAsia" w:cs="宋体"/>
          <w:color w:val="auto"/>
          <w:sz w:val="24"/>
          <w:szCs w:val="24"/>
        </w:rPr>
        <w:t>）</w:t>
      </w:r>
    </w:p>
    <w:p>
      <w:pPr>
        <w:tabs>
          <w:tab w:val="left" w:pos="7395"/>
        </w:tabs>
        <w:autoSpaceDE w:val="0"/>
        <w:autoSpaceDN w:val="0"/>
        <w:snapToGrid w:val="0"/>
        <w:spacing w:line="400" w:lineRule="atLeast"/>
        <w:ind w:left="1984"/>
        <w:jc w:val="left"/>
        <w:rPr>
          <w:rFonts w:cs="Times New Roman"/>
          <w:color w:val="auto"/>
          <w:sz w:val="24"/>
          <w:szCs w:val="24"/>
        </w:rPr>
      </w:pPr>
      <w:r>
        <w:rPr>
          <w:rFonts w:hint="eastAsia" w:ascii="宋体" w:cs="宋体"/>
          <w:color w:val="auto"/>
          <w:sz w:val="24"/>
          <w:szCs w:val="24"/>
        </w:rPr>
        <w:t>法定代表人：</w:t>
      </w:r>
      <w:r>
        <w:rPr>
          <w:color w:val="auto"/>
          <w:sz w:val="24"/>
          <w:szCs w:val="24"/>
          <w:u w:val="single"/>
        </w:rPr>
        <w:tab/>
      </w:r>
      <w:r>
        <w:rPr>
          <w:rFonts w:hint="eastAsia" w:cs="宋体"/>
          <w:color w:val="auto"/>
          <w:spacing w:val="-1"/>
          <w:sz w:val="24"/>
          <w:szCs w:val="24"/>
        </w:rPr>
        <w:t>（</w:t>
      </w:r>
      <w:r>
        <w:rPr>
          <w:rFonts w:hint="eastAsia" w:ascii="宋体" w:cs="宋体"/>
          <w:color w:val="auto"/>
          <w:sz w:val="24"/>
          <w:szCs w:val="24"/>
        </w:rPr>
        <w:t>签字</w:t>
      </w:r>
      <w:r>
        <w:rPr>
          <w:rFonts w:hint="eastAsia" w:cs="宋体"/>
          <w:color w:val="auto"/>
          <w:sz w:val="24"/>
          <w:szCs w:val="24"/>
        </w:rPr>
        <w:t>）</w:t>
      </w:r>
    </w:p>
    <w:p>
      <w:pPr>
        <w:tabs>
          <w:tab w:val="left" w:pos="7155"/>
        </w:tabs>
        <w:autoSpaceDE w:val="0"/>
        <w:autoSpaceDN w:val="0"/>
        <w:snapToGrid w:val="0"/>
        <w:spacing w:line="400" w:lineRule="atLeast"/>
        <w:ind w:left="1984"/>
        <w:jc w:val="left"/>
        <w:rPr>
          <w:rFonts w:ascii="宋体" w:cs="Times New Roman"/>
          <w:color w:val="auto"/>
          <w:sz w:val="24"/>
          <w:szCs w:val="24"/>
        </w:rPr>
      </w:pPr>
    </w:p>
    <w:p>
      <w:pPr>
        <w:tabs>
          <w:tab w:val="left" w:pos="6915"/>
        </w:tabs>
        <w:autoSpaceDE w:val="0"/>
        <w:autoSpaceDN w:val="0"/>
        <w:snapToGrid w:val="0"/>
        <w:spacing w:line="400" w:lineRule="atLeast"/>
        <w:ind w:left="1984"/>
        <w:jc w:val="left"/>
        <w:rPr>
          <w:rFonts w:ascii="Times New Roman" w:cs="Times New Roman"/>
          <w:color w:val="auto"/>
          <w:sz w:val="24"/>
          <w:szCs w:val="24"/>
        </w:rPr>
      </w:pPr>
      <w:r>
        <w:rPr>
          <w:rFonts w:hint="eastAsia" w:ascii="宋体" w:cs="宋体"/>
          <w:color w:val="auto"/>
          <w:sz w:val="24"/>
          <w:szCs w:val="24"/>
        </w:rPr>
        <w:t>联合体成员名称：</w:t>
      </w:r>
      <w:r>
        <w:rPr>
          <w:color w:val="auto"/>
          <w:sz w:val="24"/>
          <w:szCs w:val="24"/>
          <w:u w:val="single"/>
        </w:rPr>
        <w:tab/>
      </w:r>
      <w:r>
        <w:rPr>
          <w:rFonts w:hint="eastAsia" w:cs="宋体"/>
          <w:color w:val="auto"/>
          <w:spacing w:val="-1"/>
          <w:sz w:val="24"/>
          <w:szCs w:val="24"/>
        </w:rPr>
        <w:t>（</w:t>
      </w:r>
      <w:r>
        <w:rPr>
          <w:rFonts w:hint="eastAsia" w:ascii="宋体" w:cs="宋体"/>
          <w:color w:val="auto"/>
          <w:sz w:val="24"/>
          <w:szCs w:val="24"/>
        </w:rPr>
        <w:t>盖单位章</w:t>
      </w:r>
      <w:r>
        <w:rPr>
          <w:rFonts w:hint="eastAsia" w:cs="宋体"/>
          <w:color w:val="auto"/>
          <w:sz w:val="24"/>
          <w:szCs w:val="24"/>
        </w:rPr>
        <w:t>）</w:t>
      </w:r>
    </w:p>
    <w:p>
      <w:pPr>
        <w:tabs>
          <w:tab w:val="left" w:pos="7305"/>
        </w:tabs>
        <w:autoSpaceDE w:val="0"/>
        <w:autoSpaceDN w:val="0"/>
        <w:snapToGrid w:val="0"/>
        <w:spacing w:line="400" w:lineRule="atLeast"/>
        <w:ind w:left="1984"/>
        <w:jc w:val="left"/>
        <w:rPr>
          <w:rFonts w:cs="Times New Roman"/>
          <w:color w:val="auto"/>
          <w:sz w:val="24"/>
          <w:szCs w:val="24"/>
        </w:rPr>
      </w:pPr>
      <w:r>
        <w:rPr>
          <w:rFonts w:hint="eastAsia" w:ascii="宋体" w:cs="宋体"/>
          <w:color w:val="auto"/>
          <w:sz w:val="24"/>
          <w:szCs w:val="24"/>
        </w:rPr>
        <w:t>法定代表人：</w:t>
      </w:r>
      <w:r>
        <w:rPr>
          <w:color w:val="auto"/>
          <w:sz w:val="24"/>
          <w:szCs w:val="24"/>
          <w:u w:val="single"/>
        </w:rPr>
        <w:tab/>
      </w:r>
      <w:r>
        <w:rPr>
          <w:rFonts w:hint="eastAsia" w:cs="宋体"/>
          <w:color w:val="auto"/>
          <w:spacing w:val="-1"/>
          <w:sz w:val="24"/>
          <w:szCs w:val="24"/>
        </w:rPr>
        <w:t>（</w:t>
      </w:r>
      <w:r>
        <w:rPr>
          <w:rFonts w:hint="eastAsia" w:ascii="宋体" w:cs="宋体"/>
          <w:color w:val="auto"/>
          <w:sz w:val="24"/>
          <w:szCs w:val="24"/>
        </w:rPr>
        <w:t>签字</w:t>
      </w:r>
      <w:r>
        <w:rPr>
          <w:rFonts w:hint="eastAsia" w:cs="宋体"/>
          <w:color w:val="auto"/>
          <w:sz w:val="24"/>
          <w:szCs w:val="24"/>
        </w:rPr>
        <w:t>）</w:t>
      </w:r>
    </w:p>
    <w:p>
      <w:pPr>
        <w:autoSpaceDE w:val="0"/>
        <w:autoSpaceDN w:val="0"/>
        <w:snapToGrid w:val="0"/>
        <w:spacing w:line="400" w:lineRule="atLeast"/>
        <w:ind w:left="582" w:firstLine="1440"/>
        <w:jc w:val="left"/>
        <w:rPr>
          <w:rFonts w:cs="Times New Roman"/>
          <w:color w:val="auto"/>
          <w:sz w:val="24"/>
          <w:szCs w:val="24"/>
        </w:rPr>
      </w:pPr>
      <w:r>
        <w:rPr>
          <w:rFonts w:hint="eastAsia" w:cs="宋体"/>
          <w:color w:val="auto"/>
          <w:position w:val="-1"/>
          <w:sz w:val="24"/>
          <w:szCs w:val="24"/>
        </w:rPr>
        <w:t>……</w:t>
      </w:r>
    </w:p>
    <w:p>
      <w:pPr>
        <w:tabs>
          <w:tab w:val="left" w:pos="5020"/>
          <w:tab w:val="left" w:pos="5980"/>
          <w:tab w:val="left" w:pos="6585"/>
        </w:tabs>
        <w:autoSpaceDE w:val="0"/>
        <w:autoSpaceDN w:val="0"/>
        <w:snapToGrid w:val="0"/>
        <w:spacing w:line="400" w:lineRule="atLeast"/>
        <w:ind w:left="4183" w:firstLine="1680"/>
        <w:jc w:val="left"/>
        <w:rPr>
          <w:rFonts w:ascii="宋体" w:cs="Times New Roman"/>
          <w:color w:val="auto"/>
          <w:sz w:val="24"/>
          <w:szCs w:val="24"/>
        </w:rPr>
      </w:pPr>
      <w:r>
        <w:rPr>
          <w:rFonts w:ascii="宋体" w:cs="宋体"/>
          <w:color w:val="auto"/>
          <w:sz w:val="24"/>
          <w:szCs w:val="24"/>
          <w:u w:val="single"/>
        </w:rPr>
        <w:tab/>
      </w:r>
      <w:r>
        <w:rPr>
          <w:rFonts w:hint="eastAsia" w:ascii="宋体" w:cs="宋体"/>
          <w:color w:val="auto"/>
          <w:sz w:val="24"/>
          <w:szCs w:val="24"/>
        </w:rPr>
        <w:t>年</w:t>
      </w:r>
      <w:r>
        <w:rPr>
          <w:rFonts w:ascii="宋体" w:cs="宋体"/>
          <w:color w:val="auto"/>
          <w:sz w:val="24"/>
          <w:szCs w:val="24"/>
          <w:u w:val="single"/>
        </w:rPr>
        <w:tab/>
      </w:r>
      <w:r>
        <w:rPr>
          <w:rFonts w:hint="eastAsia" w:ascii="宋体" w:cs="宋体"/>
          <w:color w:val="auto"/>
          <w:sz w:val="24"/>
          <w:szCs w:val="24"/>
        </w:rPr>
        <w:t>月日</w:t>
      </w:r>
    </w:p>
    <w:p>
      <w:pPr>
        <w:widowControl/>
        <w:jc w:val="left"/>
        <w:rPr>
          <w:rFonts w:cs="Times New Roman"/>
          <w:color w:val="auto"/>
        </w:rPr>
        <w:sectPr>
          <w:footnotePr>
            <w:numRestart w:val="eachPage"/>
          </w:footnotePr>
          <w:pgSz w:w="11920" w:h="16840"/>
          <w:pgMar w:top="1440" w:right="1800" w:bottom="1440" w:left="1800" w:header="744" w:footer="868" w:gutter="0"/>
          <w:cols w:space="720" w:num="1"/>
        </w:sectPr>
      </w:pPr>
    </w:p>
    <w:p>
      <w:pPr>
        <w:autoSpaceDE w:val="0"/>
        <w:autoSpaceDN w:val="0"/>
        <w:snapToGrid w:val="0"/>
        <w:spacing w:line="341" w:lineRule="exact"/>
        <w:ind w:right="33"/>
        <w:jc w:val="center"/>
        <w:rPr>
          <w:rFonts w:ascii="黑体" w:eastAsia="黑体" w:cs="Times New Roman"/>
          <w:b/>
          <w:bCs/>
          <w:color w:val="auto"/>
          <w:sz w:val="30"/>
          <w:szCs w:val="30"/>
        </w:rPr>
      </w:pPr>
      <w:r>
        <w:rPr>
          <w:rFonts w:hint="eastAsia" w:ascii="黑体" w:hAnsi="黑体" w:eastAsia="黑体" w:cs="黑体"/>
          <w:b/>
          <w:bCs/>
          <w:color w:val="auto"/>
          <w:position w:val="-3"/>
          <w:sz w:val="30"/>
          <w:szCs w:val="30"/>
        </w:rPr>
        <w:t>四、投</w:t>
      </w:r>
      <w:r>
        <w:rPr>
          <w:rFonts w:hint="eastAsia" w:ascii="黑体" w:hAnsi="黑体" w:eastAsia="黑体" w:cs="黑体"/>
          <w:b/>
          <w:bCs/>
          <w:color w:val="auto"/>
          <w:spacing w:val="-3"/>
          <w:position w:val="-3"/>
          <w:sz w:val="30"/>
          <w:szCs w:val="30"/>
        </w:rPr>
        <w:t>标</w:t>
      </w:r>
      <w:r>
        <w:rPr>
          <w:rFonts w:hint="eastAsia" w:ascii="黑体" w:hAnsi="黑体" w:eastAsia="黑体" w:cs="黑体"/>
          <w:b/>
          <w:bCs/>
          <w:color w:val="auto"/>
          <w:position w:val="-3"/>
          <w:sz w:val="30"/>
          <w:szCs w:val="30"/>
        </w:rPr>
        <w:t>保证金</w:t>
      </w:r>
    </w:p>
    <w:p>
      <w:pPr>
        <w:autoSpaceDE w:val="0"/>
        <w:autoSpaceDN w:val="0"/>
        <w:snapToGrid w:val="0"/>
        <w:spacing w:line="200" w:lineRule="exact"/>
        <w:jc w:val="left"/>
        <w:rPr>
          <w:rFonts w:ascii="黑体" w:eastAsia="黑体" w:cs="黑体"/>
          <w:color w:val="auto"/>
          <w:sz w:val="20"/>
          <w:szCs w:val="20"/>
        </w:rPr>
      </w:pPr>
    </w:p>
    <w:p>
      <w:pPr>
        <w:autoSpaceDE w:val="0"/>
        <w:autoSpaceDN w:val="0"/>
        <w:snapToGrid w:val="0"/>
        <w:spacing w:line="200" w:lineRule="exact"/>
        <w:jc w:val="left"/>
        <w:rPr>
          <w:rFonts w:ascii="黑体" w:eastAsia="黑体" w:cs="黑体"/>
          <w:color w:val="auto"/>
          <w:sz w:val="20"/>
          <w:szCs w:val="20"/>
        </w:rPr>
      </w:pPr>
    </w:p>
    <w:p>
      <w:pPr>
        <w:autoSpaceDE w:val="0"/>
        <w:autoSpaceDN w:val="0"/>
        <w:snapToGrid w:val="0"/>
        <w:spacing w:line="200" w:lineRule="exact"/>
        <w:jc w:val="left"/>
        <w:rPr>
          <w:rFonts w:ascii="黑体" w:eastAsia="黑体" w:cs="黑体"/>
          <w:color w:val="auto"/>
          <w:sz w:val="20"/>
          <w:szCs w:val="20"/>
        </w:rPr>
      </w:pPr>
    </w:p>
    <w:p>
      <w:pPr>
        <w:autoSpaceDE w:val="0"/>
        <w:autoSpaceDN w:val="0"/>
        <w:snapToGrid w:val="0"/>
        <w:spacing w:line="400" w:lineRule="atLeast"/>
        <w:rPr>
          <w:rFonts w:ascii="Times New Roman" w:cs="Times New Roman"/>
          <w:color w:val="auto"/>
          <w:sz w:val="24"/>
          <w:szCs w:val="24"/>
        </w:rPr>
      </w:pPr>
      <w:r>
        <w:rPr>
          <w:rFonts w:hint="eastAsia" w:cs="宋体"/>
          <w:color w:val="auto"/>
          <w:sz w:val="24"/>
          <w:szCs w:val="24"/>
        </w:rPr>
        <w:t>若采用现金或支票，投标人应在此提供汇款凭证的复印件。</w:t>
      </w:r>
    </w:p>
    <w:p>
      <w:pPr>
        <w:autoSpaceDE w:val="0"/>
        <w:autoSpaceDN w:val="0"/>
        <w:snapToGrid w:val="0"/>
        <w:spacing w:line="400" w:lineRule="atLeast"/>
        <w:rPr>
          <w:rFonts w:cs="Times New Roman"/>
          <w:color w:val="auto"/>
          <w:sz w:val="24"/>
          <w:szCs w:val="24"/>
        </w:rPr>
      </w:pPr>
      <w:r>
        <w:rPr>
          <w:rFonts w:hint="eastAsia" w:cs="宋体"/>
          <w:color w:val="auto"/>
          <w:sz w:val="24"/>
          <w:szCs w:val="24"/>
        </w:rPr>
        <w:t>如采用银行保函，银行保函复印件装订在投标文件中，格式如下。</w:t>
      </w:r>
    </w:p>
    <w:p>
      <w:pPr>
        <w:autoSpaceDE w:val="0"/>
        <w:autoSpaceDN w:val="0"/>
        <w:snapToGrid w:val="0"/>
        <w:spacing w:line="360" w:lineRule="auto"/>
        <w:rPr>
          <w:rFonts w:cs="Times New Roman"/>
          <w:color w:val="auto"/>
          <w:sz w:val="24"/>
          <w:szCs w:val="24"/>
        </w:rPr>
      </w:pPr>
      <w:r>
        <w:rPr>
          <w:rFonts w:hint="eastAsia" w:cs="宋体"/>
          <w:color w:val="auto"/>
          <w:sz w:val="24"/>
          <w:szCs w:val="24"/>
        </w:rPr>
        <w:t>（招标人名称）：</w:t>
      </w:r>
    </w:p>
    <w:p>
      <w:pPr>
        <w:autoSpaceDE w:val="0"/>
        <w:autoSpaceDN w:val="0"/>
        <w:snapToGrid w:val="0"/>
        <w:spacing w:line="360" w:lineRule="auto"/>
        <w:ind w:firstLine="480" w:firstLineChars="200"/>
        <w:rPr>
          <w:rFonts w:cs="Times New Roman"/>
          <w:color w:val="auto"/>
          <w:sz w:val="24"/>
          <w:szCs w:val="24"/>
        </w:rPr>
      </w:pPr>
      <w:r>
        <w:rPr>
          <w:rFonts w:hint="eastAsia" w:cs="宋体"/>
          <w:color w:val="auto"/>
          <w:sz w:val="24"/>
          <w:szCs w:val="24"/>
        </w:rPr>
        <w:t>鉴于（投标人名称）（以下称“投标人”）于年月日参加（项目名称）标段勘察的投标，（担保人名称，以下称“我方”）无条件地、不可撤销地保证：若投标人在投标有效期内撤销投标文件，中标后无正当理由不与招标人订立合同，在签订合同时向招标人提出附加条件，不按照招标文件要求提交履约保证金，或发生招标文件明确规定可以不予退还投标保证金的其他情形，我方承担保证责任。收到你方书面通知后，我方在</w:t>
      </w:r>
      <w:r>
        <w:rPr>
          <w:color w:val="auto"/>
          <w:sz w:val="24"/>
          <w:szCs w:val="24"/>
        </w:rPr>
        <w:t>7</w:t>
      </w:r>
      <w:r>
        <w:rPr>
          <w:rFonts w:hint="eastAsia" w:cs="宋体"/>
          <w:color w:val="auto"/>
          <w:sz w:val="24"/>
          <w:szCs w:val="24"/>
        </w:rPr>
        <w:t>天日内向你方无条件支付人民币（大写）元。</w:t>
      </w:r>
    </w:p>
    <w:p>
      <w:pPr>
        <w:autoSpaceDE w:val="0"/>
        <w:autoSpaceDN w:val="0"/>
        <w:snapToGrid w:val="0"/>
        <w:spacing w:line="360" w:lineRule="auto"/>
        <w:ind w:firstLine="480" w:firstLineChars="200"/>
        <w:rPr>
          <w:rFonts w:cs="Times New Roman"/>
          <w:color w:val="auto"/>
          <w:sz w:val="24"/>
          <w:szCs w:val="24"/>
        </w:rPr>
      </w:pPr>
      <w:r>
        <w:rPr>
          <w:rFonts w:hint="eastAsia" w:cs="宋体"/>
          <w:color w:val="auto"/>
          <w:sz w:val="24"/>
          <w:szCs w:val="24"/>
        </w:rPr>
        <w:t>本保函在投标有效期或经延长的投标有效期内保持有效。要求我方承担保证责任的通知应在上述期限内送达我方。你方延长投标有效期的决定，应通知我方。</w:t>
      </w:r>
    </w:p>
    <w:p>
      <w:pPr>
        <w:autoSpaceDE w:val="0"/>
        <w:autoSpaceDN w:val="0"/>
        <w:snapToGrid w:val="0"/>
        <w:spacing w:line="400" w:lineRule="atLeast"/>
        <w:ind w:firstLine="480"/>
        <w:rPr>
          <w:color w:val="auto"/>
          <w:sz w:val="24"/>
          <w:szCs w:val="24"/>
        </w:rPr>
      </w:pPr>
    </w:p>
    <w:p>
      <w:pPr>
        <w:autoSpaceDE w:val="0"/>
        <w:autoSpaceDN w:val="0"/>
        <w:snapToGrid w:val="0"/>
        <w:spacing w:line="400" w:lineRule="atLeast"/>
        <w:ind w:firstLine="480"/>
        <w:rPr>
          <w:color w:val="auto"/>
          <w:sz w:val="24"/>
          <w:szCs w:val="24"/>
        </w:rPr>
      </w:pPr>
    </w:p>
    <w:p>
      <w:pPr>
        <w:autoSpaceDE w:val="0"/>
        <w:autoSpaceDN w:val="0"/>
        <w:snapToGrid w:val="0"/>
        <w:spacing w:line="400" w:lineRule="atLeast"/>
        <w:ind w:firstLine="480"/>
        <w:rPr>
          <w:color w:val="auto"/>
          <w:sz w:val="24"/>
          <w:szCs w:val="24"/>
        </w:rPr>
      </w:pPr>
    </w:p>
    <w:tbl>
      <w:tblPr>
        <w:tblStyle w:val="20"/>
        <w:tblW w:w="5245" w:type="dxa"/>
        <w:tblInd w:w="-106"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5245"/>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5245" w:type="dxa"/>
            <w:vAlign w:val="center"/>
          </w:tcPr>
          <w:p>
            <w:pPr>
              <w:autoSpaceDE w:val="0"/>
              <w:autoSpaceDN w:val="0"/>
              <w:snapToGrid w:val="0"/>
              <w:spacing w:line="360" w:lineRule="auto"/>
              <w:rPr>
                <w:rFonts w:cs="Times New Roman"/>
                <w:color w:val="auto"/>
                <w:sz w:val="24"/>
                <w:szCs w:val="24"/>
              </w:rPr>
            </w:pPr>
            <w:r>
              <w:rPr>
                <w:rFonts w:hint="eastAsia" w:cs="宋体"/>
                <w:color w:val="auto"/>
                <w:sz w:val="24"/>
                <w:szCs w:val="24"/>
              </w:rPr>
              <w:t>担保人名称（盖单位章）</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5245" w:type="dxa"/>
            <w:vAlign w:val="center"/>
          </w:tcPr>
          <w:p>
            <w:pPr>
              <w:autoSpaceDE w:val="0"/>
              <w:autoSpaceDN w:val="0"/>
              <w:snapToGrid w:val="0"/>
              <w:spacing w:line="360" w:lineRule="auto"/>
              <w:rPr>
                <w:rFonts w:cs="Times New Roman"/>
                <w:color w:val="auto"/>
                <w:sz w:val="24"/>
                <w:szCs w:val="24"/>
              </w:rPr>
            </w:pPr>
            <w:r>
              <w:rPr>
                <w:rFonts w:hint="eastAsia" w:cs="宋体"/>
                <w:color w:val="auto"/>
                <w:sz w:val="24"/>
                <w:szCs w:val="24"/>
              </w:rPr>
              <w:t>法定代表人或其委托代理人（签字）</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5245" w:type="dxa"/>
            <w:vAlign w:val="center"/>
          </w:tcPr>
          <w:p>
            <w:pPr>
              <w:autoSpaceDE w:val="0"/>
              <w:autoSpaceDN w:val="0"/>
              <w:snapToGrid w:val="0"/>
              <w:spacing w:line="360" w:lineRule="auto"/>
              <w:rPr>
                <w:rFonts w:cs="Times New Roman"/>
                <w:color w:val="auto"/>
                <w:sz w:val="24"/>
                <w:szCs w:val="24"/>
              </w:rPr>
            </w:pPr>
            <w:r>
              <w:rPr>
                <w:rFonts w:hint="eastAsia" w:cs="宋体"/>
                <w:color w:val="auto"/>
                <w:sz w:val="24"/>
                <w:szCs w:val="24"/>
              </w:rPr>
              <w:t>地址：</w:t>
            </w:r>
            <w:r>
              <w:rPr>
                <w:color w:val="auto"/>
                <w:sz w:val="24"/>
                <w:szCs w:val="24"/>
              </w:rPr>
              <w:t>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PrEx>
        <w:tc>
          <w:tcPr>
            <w:tcW w:w="5245" w:type="dxa"/>
            <w:vAlign w:val="center"/>
          </w:tcPr>
          <w:p>
            <w:pPr>
              <w:autoSpaceDE w:val="0"/>
              <w:autoSpaceDN w:val="0"/>
              <w:snapToGrid w:val="0"/>
              <w:spacing w:line="360" w:lineRule="auto"/>
              <w:rPr>
                <w:rFonts w:cs="Times New Roman"/>
                <w:color w:val="auto"/>
                <w:sz w:val="24"/>
                <w:szCs w:val="24"/>
                <w:u w:val="single"/>
              </w:rPr>
            </w:pPr>
            <w:r>
              <w:rPr>
                <w:rFonts w:hint="eastAsia" w:cs="宋体"/>
                <w:color w:val="auto"/>
                <w:sz w:val="24"/>
                <w:szCs w:val="24"/>
              </w:rPr>
              <w:t>邮政编码：</w:t>
            </w:r>
            <w:r>
              <w:rPr>
                <w:color w:val="auto"/>
                <w:sz w:val="24"/>
                <w:szCs w:val="24"/>
                <w:u w:val="single"/>
              </w:rPr>
              <w:t>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5245" w:type="dxa"/>
            <w:vAlign w:val="center"/>
          </w:tcPr>
          <w:p>
            <w:pPr>
              <w:autoSpaceDE w:val="0"/>
              <w:autoSpaceDN w:val="0"/>
              <w:snapToGrid w:val="0"/>
              <w:spacing w:line="360" w:lineRule="auto"/>
              <w:rPr>
                <w:rFonts w:cs="Times New Roman"/>
                <w:color w:val="auto"/>
                <w:sz w:val="24"/>
                <w:szCs w:val="24"/>
                <w:u w:val="single"/>
              </w:rPr>
            </w:pPr>
            <w:r>
              <w:rPr>
                <w:rFonts w:hint="eastAsia" w:cs="宋体"/>
                <w:color w:val="auto"/>
                <w:sz w:val="24"/>
                <w:szCs w:val="24"/>
              </w:rPr>
              <w:t>电话：</w:t>
            </w:r>
            <w:r>
              <w:rPr>
                <w:color w:val="auto"/>
                <w:sz w:val="24"/>
                <w:szCs w:val="24"/>
                <w:u w:val="single"/>
              </w:rPr>
              <w:t>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5245" w:type="dxa"/>
            <w:vAlign w:val="center"/>
          </w:tcPr>
          <w:p>
            <w:pPr>
              <w:autoSpaceDE w:val="0"/>
              <w:autoSpaceDN w:val="0"/>
              <w:snapToGrid w:val="0"/>
              <w:spacing w:line="360" w:lineRule="auto"/>
              <w:rPr>
                <w:rFonts w:cs="Times New Roman"/>
                <w:color w:val="auto"/>
                <w:sz w:val="24"/>
                <w:szCs w:val="24"/>
              </w:rPr>
            </w:pPr>
            <w:r>
              <w:rPr>
                <w:rFonts w:hint="eastAsia" w:cs="宋体"/>
                <w:color w:val="auto"/>
                <w:sz w:val="24"/>
                <w:szCs w:val="24"/>
              </w:rPr>
              <w:t>传真：</w:t>
            </w:r>
            <w:r>
              <w:rPr>
                <w:color w:val="auto"/>
                <w:sz w:val="24"/>
                <w:szCs w:val="24"/>
              </w:rPr>
              <w:t>___________________________</w:t>
            </w:r>
          </w:p>
        </w:tc>
      </w:tr>
    </w:tbl>
    <w:p>
      <w:pPr>
        <w:autoSpaceDE w:val="0"/>
        <w:autoSpaceDN w:val="0"/>
        <w:snapToGrid w:val="0"/>
        <w:spacing w:line="400" w:lineRule="atLeast"/>
        <w:ind w:firstLine="480"/>
        <w:rPr>
          <w:rFonts w:ascii="Times New Roman" w:hAnsi="Times New Roman" w:cs="Times New Roman"/>
          <w:color w:val="auto"/>
          <w:sz w:val="24"/>
          <w:szCs w:val="24"/>
        </w:rPr>
      </w:pPr>
    </w:p>
    <w:p>
      <w:pPr>
        <w:autoSpaceDE w:val="0"/>
        <w:autoSpaceDN w:val="0"/>
        <w:snapToGrid w:val="0"/>
        <w:spacing w:line="400" w:lineRule="atLeast"/>
        <w:ind w:firstLine="5400"/>
        <w:rPr>
          <w:rFonts w:cs="Times New Roman"/>
          <w:color w:val="auto"/>
          <w:sz w:val="24"/>
          <w:szCs w:val="24"/>
        </w:rPr>
      </w:pPr>
      <w:r>
        <w:rPr>
          <w:rFonts w:hint="eastAsia" w:cs="宋体"/>
          <w:color w:val="auto"/>
          <w:sz w:val="24"/>
          <w:szCs w:val="24"/>
        </w:rPr>
        <w:t>年月日</w:t>
      </w:r>
    </w:p>
    <w:p>
      <w:pPr>
        <w:pStyle w:val="50"/>
        <w:jc w:val="center"/>
        <w:rPr>
          <w:rFonts w:ascii="黑体" w:eastAsia="黑体" w:cs="Times New Roman"/>
          <w:b/>
          <w:bCs/>
          <w:color w:val="auto"/>
          <w:position w:val="-4"/>
          <w:sz w:val="30"/>
          <w:szCs w:val="30"/>
        </w:rPr>
      </w:pPr>
    </w:p>
    <w:p>
      <w:pPr>
        <w:pStyle w:val="50"/>
        <w:jc w:val="center"/>
        <w:rPr>
          <w:rFonts w:ascii="黑体" w:eastAsia="黑体" w:cs="Times New Roman"/>
          <w:b/>
          <w:bCs/>
          <w:color w:val="auto"/>
          <w:position w:val="-4"/>
          <w:sz w:val="30"/>
          <w:szCs w:val="30"/>
        </w:rPr>
      </w:pPr>
    </w:p>
    <w:p>
      <w:pPr>
        <w:autoSpaceDE w:val="0"/>
        <w:autoSpaceDN w:val="0"/>
        <w:snapToGrid w:val="0"/>
        <w:spacing w:line="403" w:lineRule="exact"/>
        <w:ind w:right="3"/>
        <w:jc w:val="center"/>
        <w:rPr>
          <w:rFonts w:ascii="黑体" w:hAnsi="黑体" w:eastAsia="黑体" w:cs="Times New Roman"/>
          <w:b/>
          <w:bCs/>
          <w:color w:val="auto"/>
          <w:position w:val="-4"/>
          <w:sz w:val="30"/>
          <w:szCs w:val="30"/>
        </w:rPr>
      </w:pPr>
    </w:p>
    <w:p>
      <w:pPr>
        <w:autoSpaceDE w:val="0"/>
        <w:autoSpaceDN w:val="0"/>
        <w:snapToGrid w:val="0"/>
        <w:spacing w:line="403" w:lineRule="exact"/>
        <w:ind w:right="3"/>
        <w:jc w:val="center"/>
        <w:rPr>
          <w:rFonts w:ascii="黑体" w:hAnsi="黑体" w:eastAsia="黑体" w:cs="Times New Roman"/>
          <w:b/>
          <w:bCs/>
          <w:color w:val="auto"/>
          <w:position w:val="-4"/>
          <w:sz w:val="30"/>
          <w:szCs w:val="30"/>
        </w:rPr>
      </w:pPr>
    </w:p>
    <w:p>
      <w:pPr>
        <w:autoSpaceDE w:val="0"/>
        <w:autoSpaceDN w:val="0"/>
        <w:snapToGrid w:val="0"/>
        <w:spacing w:line="403" w:lineRule="exact"/>
        <w:ind w:right="3"/>
        <w:jc w:val="center"/>
        <w:rPr>
          <w:rFonts w:ascii="黑体" w:hAnsi="黑体" w:eastAsia="黑体" w:cs="Times New Roman"/>
          <w:b/>
          <w:bCs/>
          <w:color w:val="auto"/>
          <w:position w:val="-4"/>
          <w:sz w:val="30"/>
          <w:szCs w:val="30"/>
        </w:rPr>
      </w:pPr>
    </w:p>
    <w:p>
      <w:pPr>
        <w:autoSpaceDE w:val="0"/>
        <w:autoSpaceDN w:val="0"/>
        <w:snapToGrid w:val="0"/>
        <w:spacing w:line="403" w:lineRule="exact"/>
        <w:ind w:right="3"/>
        <w:jc w:val="center"/>
        <w:rPr>
          <w:rFonts w:ascii="黑体" w:hAnsi="黑体" w:eastAsia="黑体" w:cs="Times New Roman"/>
          <w:b/>
          <w:bCs/>
          <w:color w:val="auto"/>
          <w:position w:val="-4"/>
          <w:sz w:val="30"/>
          <w:szCs w:val="30"/>
        </w:rPr>
      </w:pPr>
    </w:p>
    <w:p>
      <w:pPr>
        <w:autoSpaceDE w:val="0"/>
        <w:autoSpaceDN w:val="0"/>
        <w:snapToGrid w:val="0"/>
        <w:spacing w:line="403" w:lineRule="exact"/>
        <w:ind w:right="3"/>
        <w:jc w:val="center"/>
        <w:rPr>
          <w:rFonts w:hint="eastAsia" w:ascii="黑体" w:hAnsi="黑体" w:eastAsia="黑体" w:cs="黑体"/>
          <w:b/>
          <w:bCs/>
          <w:color w:val="auto"/>
          <w:position w:val="-4"/>
          <w:sz w:val="30"/>
          <w:szCs w:val="30"/>
        </w:rPr>
      </w:pPr>
    </w:p>
    <w:p>
      <w:pPr>
        <w:autoSpaceDE w:val="0"/>
        <w:autoSpaceDN w:val="0"/>
        <w:snapToGrid w:val="0"/>
        <w:spacing w:line="403" w:lineRule="exact"/>
        <w:ind w:right="3"/>
        <w:jc w:val="center"/>
        <w:rPr>
          <w:rFonts w:hint="eastAsia" w:ascii="黑体" w:hAnsi="黑体" w:eastAsia="黑体" w:cs="黑体"/>
          <w:b/>
          <w:bCs/>
          <w:color w:val="auto"/>
          <w:position w:val="-4"/>
          <w:sz w:val="30"/>
          <w:szCs w:val="30"/>
        </w:rPr>
      </w:pPr>
    </w:p>
    <w:p>
      <w:pPr>
        <w:autoSpaceDE w:val="0"/>
        <w:autoSpaceDN w:val="0"/>
        <w:snapToGrid w:val="0"/>
        <w:spacing w:line="403" w:lineRule="exact"/>
        <w:ind w:right="3"/>
        <w:jc w:val="center"/>
        <w:rPr>
          <w:rFonts w:ascii="黑体" w:eastAsia="黑体" w:cs="Times New Roman"/>
          <w:b/>
          <w:bCs/>
          <w:color w:val="auto"/>
          <w:position w:val="-4"/>
          <w:sz w:val="30"/>
          <w:szCs w:val="30"/>
        </w:rPr>
      </w:pPr>
      <w:r>
        <w:rPr>
          <w:rFonts w:hint="eastAsia" w:ascii="黑体" w:hAnsi="黑体" w:eastAsia="黑体" w:cs="黑体"/>
          <w:b/>
          <w:bCs/>
          <w:color w:val="auto"/>
          <w:position w:val="-4"/>
          <w:sz w:val="30"/>
          <w:szCs w:val="30"/>
        </w:rPr>
        <w:t>五、资格审查资料</w:t>
      </w:r>
    </w:p>
    <w:p>
      <w:pPr>
        <w:autoSpaceDE w:val="0"/>
        <w:autoSpaceDN w:val="0"/>
        <w:snapToGrid w:val="0"/>
        <w:spacing w:before="9" w:line="110" w:lineRule="exact"/>
        <w:jc w:val="left"/>
        <w:rPr>
          <w:rFonts w:ascii="黑体" w:eastAsia="黑体" w:cs="黑体"/>
          <w:color w:val="auto"/>
          <w:sz w:val="11"/>
          <w:szCs w:val="11"/>
        </w:rPr>
      </w:pPr>
    </w:p>
    <w:p>
      <w:pPr>
        <w:autoSpaceDE w:val="0"/>
        <w:autoSpaceDN w:val="0"/>
        <w:snapToGrid w:val="0"/>
        <w:spacing w:line="200" w:lineRule="exact"/>
        <w:jc w:val="left"/>
        <w:rPr>
          <w:rFonts w:ascii="黑体" w:eastAsia="黑体" w:cs="黑体"/>
          <w:color w:val="auto"/>
          <w:sz w:val="20"/>
          <w:szCs w:val="20"/>
        </w:rPr>
      </w:pPr>
    </w:p>
    <w:p>
      <w:pPr>
        <w:autoSpaceDE w:val="0"/>
        <w:autoSpaceDN w:val="0"/>
        <w:snapToGrid w:val="0"/>
        <w:ind w:right="3"/>
        <w:jc w:val="center"/>
        <w:rPr>
          <w:rFonts w:ascii="黑体" w:eastAsia="黑体" w:cs="Times New Roman"/>
          <w:b/>
          <w:bCs/>
          <w:color w:val="auto"/>
          <w:sz w:val="28"/>
          <w:szCs w:val="28"/>
        </w:rPr>
      </w:pPr>
      <w:r>
        <w:rPr>
          <w:rFonts w:hint="eastAsia" w:ascii="黑体" w:hAnsi="黑体" w:eastAsia="黑体" w:cs="黑体"/>
          <w:b/>
          <w:bCs/>
          <w:color w:val="auto"/>
          <w:sz w:val="28"/>
          <w:szCs w:val="28"/>
        </w:rPr>
        <w:t>（一）投标人基本情况表</w:t>
      </w:r>
    </w:p>
    <w:p>
      <w:pPr>
        <w:autoSpaceDE w:val="0"/>
        <w:autoSpaceDN w:val="0"/>
        <w:snapToGrid w:val="0"/>
        <w:spacing w:before="13" w:line="280" w:lineRule="exact"/>
        <w:jc w:val="left"/>
        <w:rPr>
          <w:rFonts w:ascii="黑体" w:eastAsia="黑体" w:cs="黑体"/>
          <w:color w:val="auto"/>
          <w:sz w:val="28"/>
          <w:szCs w:val="28"/>
        </w:rPr>
      </w:pPr>
    </w:p>
    <w:tbl>
      <w:tblPr>
        <w:tblStyle w:val="20"/>
        <w:tblW w:w="8910" w:type="dxa"/>
        <w:tblInd w:w="2" w:type="dxa"/>
        <w:tblLayout w:type="fixed"/>
        <w:tblCellMar>
          <w:top w:w="0" w:type="dxa"/>
          <w:left w:w="0" w:type="dxa"/>
          <w:bottom w:w="0" w:type="dxa"/>
          <w:right w:w="0" w:type="dxa"/>
        </w:tblCellMar>
      </w:tblPr>
      <w:tblGrid>
        <w:gridCol w:w="2054"/>
        <w:gridCol w:w="899"/>
        <w:gridCol w:w="1023"/>
        <w:gridCol w:w="1292"/>
        <w:gridCol w:w="414"/>
        <w:gridCol w:w="874"/>
        <w:gridCol w:w="827"/>
        <w:gridCol w:w="283"/>
        <w:gridCol w:w="1244"/>
      </w:tblGrid>
      <w:tr>
        <w:tblPrEx>
          <w:tblCellMar>
            <w:top w:w="0" w:type="dxa"/>
            <w:left w:w="0" w:type="dxa"/>
            <w:bottom w:w="0" w:type="dxa"/>
            <w:right w:w="0" w:type="dxa"/>
          </w:tblCellMar>
        </w:tblPrEx>
        <w:trPr>
          <w:trHeight w:val="451" w:hRule="atLeast"/>
        </w:trPr>
        <w:tc>
          <w:tcPr>
            <w:tcW w:w="205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autoSpaceDE w:val="0"/>
              <w:spacing w:line="240" w:lineRule="atLeast"/>
              <w:jc w:val="center"/>
              <w:rPr>
                <w:rFonts w:cs="Times New Roman"/>
                <w:color w:val="auto"/>
              </w:rPr>
            </w:pPr>
            <w:r>
              <w:rPr>
                <w:rFonts w:hint="eastAsia" w:cs="宋体"/>
                <w:color w:val="auto"/>
              </w:rPr>
              <w:t>投标人名称</w:t>
            </w:r>
          </w:p>
        </w:tc>
        <w:tc>
          <w:tcPr>
            <w:tcW w:w="6856" w:type="dxa"/>
            <w:gridSpan w:val="8"/>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vAlign w:val="center"/>
          </w:tcPr>
          <w:p>
            <w:pPr>
              <w:widowControl/>
              <w:autoSpaceDE w:val="0"/>
              <w:jc w:val="center"/>
              <w:rPr>
                <w:rFonts w:cs="Times New Roman"/>
                <w:color w:val="auto"/>
              </w:rPr>
            </w:pPr>
          </w:p>
        </w:tc>
      </w:tr>
      <w:tr>
        <w:tblPrEx>
          <w:tblCellMar>
            <w:top w:w="0" w:type="dxa"/>
            <w:left w:w="0" w:type="dxa"/>
            <w:bottom w:w="0" w:type="dxa"/>
            <w:right w:w="0" w:type="dxa"/>
          </w:tblCellMar>
        </w:tblPrEx>
        <w:trPr>
          <w:trHeight w:val="451" w:hRule="atLeast"/>
        </w:trPr>
        <w:tc>
          <w:tcPr>
            <w:tcW w:w="205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autoSpaceDE w:val="0"/>
              <w:spacing w:line="240" w:lineRule="atLeast"/>
              <w:jc w:val="center"/>
              <w:rPr>
                <w:rFonts w:cs="Times New Roman"/>
                <w:color w:val="auto"/>
              </w:rPr>
            </w:pPr>
            <w:r>
              <w:rPr>
                <w:rFonts w:hint="eastAsia" w:cs="宋体"/>
                <w:color w:val="auto"/>
              </w:rPr>
              <w:t>注册地址</w:t>
            </w:r>
          </w:p>
        </w:tc>
        <w:tc>
          <w:tcPr>
            <w:tcW w:w="3214" w:type="dxa"/>
            <w:gridSpan w:val="3"/>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autoSpaceDE w:val="0"/>
              <w:jc w:val="center"/>
              <w:rPr>
                <w:rFonts w:cs="Times New Roman"/>
                <w:color w:val="auto"/>
              </w:rPr>
            </w:pPr>
          </w:p>
        </w:tc>
        <w:tc>
          <w:tcPr>
            <w:tcW w:w="1288" w:type="dxa"/>
            <w:gridSpan w:val="2"/>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autoSpaceDE w:val="0"/>
              <w:spacing w:line="240" w:lineRule="atLeast"/>
              <w:jc w:val="center"/>
              <w:rPr>
                <w:rFonts w:cs="Times New Roman"/>
                <w:color w:val="auto"/>
              </w:rPr>
            </w:pPr>
            <w:r>
              <w:rPr>
                <w:rFonts w:hint="eastAsia" w:cs="宋体"/>
                <w:color w:val="auto"/>
              </w:rPr>
              <w:t>邮政编码</w:t>
            </w:r>
          </w:p>
        </w:tc>
        <w:tc>
          <w:tcPr>
            <w:tcW w:w="2354" w:type="dxa"/>
            <w:gridSpan w:val="3"/>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vAlign w:val="center"/>
          </w:tcPr>
          <w:p>
            <w:pPr>
              <w:widowControl/>
              <w:autoSpaceDE w:val="0"/>
              <w:jc w:val="center"/>
              <w:rPr>
                <w:rFonts w:cs="Times New Roman"/>
                <w:color w:val="auto"/>
              </w:rPr>
            </w:pPr>
          </w:p>
        </w:tc>
      </w:tr>
      <w:tr>
        <w:tblPrEx>
          <w:tblCellMar>
            <w:top w:w="0" w:type="dxa"/>
            <w:left w:w="0" w:type="dxa"/>
            <w:bottom w:w="0" w:type="dxa"/>
            <w:right w:w="0" w:type="dxa"/>
          </w:tblCellMar>
        </w:tblPrEx>
        <w:trPr>
          <w:trHeight w:val="451" w:hRule="atLeast"/>
        </w:trPr>
        <w:tc>
          <w:tcPr>
            <w:tcW w:w="2054" w:type="dxa"/>
            <w:vMerge w:val="restart"/>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autoSpaceDE w:val="0"/>
              <w:spacing w:line="240" w:lineRule="atLeast"/>
              <w:jc w:val="center"/>
              <w:rPr>
                <w:rFonts w:cs="Times New Roman"/>
                <w:color w:val="auto"/>
              </w:rPr>
            </w:pPr>
            <w:r>
              <w:rPr>
                <w:rFonts w:hint="eastAsia" w:cs="宋体"/>
                <w:color w:val="auto"/>
              </w:rPr>
              <w:t>联系方式</w:t>
            </w:r>
          </w:p>
        </w:tc>
        <w:tc>
          <w:tcPr>
            <w:tcW w:w="899"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autoSpaceDE w:val="0"/>
              <w:spacing w:line="240" w:lineRule="atLeast"/>
              <w:jc w:val="center"/>
              <w:rPr>
                <w:rFonts w:cs="Times New Roman"/>
                <w:color w:val="auto"/>
              </w:rPr>
            </w:pPr>
            <w:r>
              <w:rPr>
                <w:rFonts w:hint="eastAsia" w:cs="宋体"/>
                <w:color w:val="auto"/>
              </w:rPr>
              <w:t>联系人</w:t>
            </w:r>
          </w:p>
        </w:tc>
        <w:tc>
          <w:tcPr>
            <w:tcW w:w="2315" w:type="dxa"/>
            <w:gridSpan w:val="2"/>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autoSpaceDE w:val="0"/>
              <w:jc w:val="center"/>
              <w:rPr>
                <w:rFonts w:cs="Times New Roman"/>
                <w:color w:val="auto"/>
              </w:rPr>
            </w:pPr>
          </w:p>
        </w:tc>
        <w:tc>
          <w:tcPr>
            <w:tcW w:w="1288" w:type="dxa"/>
            <w:gridSpan w:val="2"/>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autoSpaceDE w:val="0"/>
              <w:spacing w:line="240" w:lineRule="atLeast"/>
              <w:jc w:val="center"/>
              <w:rPr>
                <w:rFonts w:cs="Times New Roman"/>
                <w:color w:val="auto"/>
              </w:rPr>
            </w:pPr>
            <w:r>
              <w:rPr>
                <w:rFonts w:hint="eastAsia" w:cs="宋体"/>
                <w:color w:val="auto"/>
              </w:rPr>
              <w:t>电话</w:t>
            </w:r>
          </w:p>
        </w:tc>
        <w:tc>
          <w:tcPr>
            <w:tcW w:w="2354" w:type="dxa"/>
            <w:gridSpan w:val="3"/>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vAlign w:val="center"/>
          </w:tcPr>
          <w:p>
            <w:pPr>
              <w:widowControl/>
              <w:autoSpaceDE w:val="0"/>
              <w:jc w:val="center"/>
              <w:rPr>
                <w:rFonts w:cs="Times New Roman"/>
                <w:color w:val="auto"/>
              </w:rPr>
            </w:pPr>
          </w:p>
        </w:tc>
      </w:tr>
      <w:tr>
        <w:tblPrEx>
          <w:tblCellMar>
            <w:top w:w="0" w:type="dxa"/>
            <w:left w:w="0" w:type="dxa"/>
            <w:bottom w:w="0" w:type="dxa"/>
            <w:right w:w="0" w:type="dxa"/>
          </w:tblCellMar>
        </w:tblPrEx>
        <w:trPr>
          <w:trHeight w:val="451" w:hRule="atLeast"/>
        </w:trPr>
        <w:tc>
          <w:tcPr>
            <w:tcW w:w="2054" w:type="dxa"/>
            <w:vMerge w:val="continue"/>
            <w:tcBorders>
              <w:top w:val="single" w:color="000000" w:sz="4" w:space="0"/>
              <w:left w:val="single" w:color="000000" w:sz="4" w:space="0"/>
              <w:bottom w:val="nil"/>
              <w:right w:val="nil"/>
            </w:tcBorders>
            <w:vAlign w:val="center"/>
          </w:tcPr>
          <w:p>
            <w:pPr>
              <w:widowControl/>
              <w:jc w:val="left"/>
              <w:rPr>
                <w:rFonts w:cs="Times New Roman"/>
                <w:color w:val="auto"/>
              </w:rPr>
            </w:pPr>
          </w:p>
        </w:tc>
        <w:tc>
          <w:tcPr>
            <w:tcW w:w="899"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autoSpaceDE w:val="0"/>
              <w:spacing w:line="240" w:lineRule="atLeast"/>
              <w:jc w:val="center"/>
              <w:rPr>
                <w:rFonts w:cs="Times New Roman"/>
                <w:color w:val="auto"/>
              </w:rPr>
            </w:pPr>
            <w:r>
              <w:rPr>
                <w:rFonts w:hint="eastAsia" w:cs="宋体"/>
                <w:color w:val="auto"/>
              </w:rPr>
              <w:t>传真</w:t>
            </w:r>
          </w:p>
        </w:tc>
        <w:tc>
          <w:tcPr>
            <w:tcW w:w="2315" w:type="dxa"/>
            <w:gridSpan w:val="2"/>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autoSpaceDE w:val="0"/>
              <w:jc w:val="center"/>
              <w:rPr>
                <w:rFonts w:cs="Times New Roman"/>
                <w:color w:val="auto"/>
              </w:rPr>
            </w:pPr>
          </w:p>
        </w:tc>
        <w:tc>
          <w:tcPr>
            <w:tcW w:w="1288" w:type="dxa"/>
            <w:gridSpan w:val="2"/>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autoSpaceDE w:val="0"/>
              <w:spacing w:line="240" w:lineRule="atLeast"/>
              <w:jc w:val="center"/>
              <w:rPr>
                <w:rFonts w:cs="Times New Roman"/>
                <w:color w:val="auto"/>
              </w:rPr>
            </w:pPr>
            <w:r>
              <w:rPr>
                <w:rFonts w:hint="eastAsia" w:cs="宋体"/>
                <w:color w:val="auto"/>
              </w:rPr>
              <w:t>电子邮件</w:t>
            </w:r>
          </w:p>
        </w:tc>
        <w:tc>
          <w:tcPr>
            <w:tcW w:w="2354" w:type="dxa"/>
            <w:gridSpan w:val="3"/>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vAlign w:val="center"/>
          </w:tcPr>
          <w:p>
            <w:pPr>
              <w:widowControl/>
              <w:autoSpaceDE w:val="0"/>
              <w:jc w:val="center"/>
              <w:rPr>
                <w:rFonts w:cs="Times New Roman"/>
                <w:color w:val="auto"/>
              </w:rPr>
            </w:pPr>
          </w:p>
        </w:tc>
      </w:tr>
      <w:tr>
        <w:tblPrEx>
          <w:tblCellMar>
            <w:top w:w="0" w:type="dxa"/>
            <w:left w:w="0" w:type="dxa"/>
            <w:bottom w:w="0" w:type="dxa"/>
            <w:right w:w="0" w:type="dxa"/>
          </w:tblCellMar>
        </w:tblPrEx>
        <w:trPr>
          <w:trHeight w:val="446" w:hRule="atLeast"/>
        </w:trPr>
        <w:tc>
          <w:tcPr>
            <w:tcW w:w="205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autoSpaceDE w:val="0"/>
              <w:spacing w:line="240" w:lineRule="atLeast"/>
              <w:jc w:val="center"/>
              <w:rPr>
                <w:rFonts w:cs="Times New Roman"/>
                <w:color w:val="auto"/>
              </w:rPr>
            </w:pPr>
            <w:r>
              <w:rPr>
                <w:rFonts w:hint="eastAsia" w:cs="宋体"/>
                <w:color w:val="auto"/>
              </w:rPr>
              <w:t>法定代表人</w:t>
            </w:r>
          </w:p>
        </w:tc>
        <w:tc>
          <w:tcPr>
            <w:tcW w:w="899"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autoSpaceDE w:val="0"/>
              <w:spacing w:line="240" w:lineRule="atLeast"/>
              <w:jc w:val="center"/>
              <w:rPr>
                <w:rFonts w:cs="Times New Roman"/>
                <w:color w:val="auto"/>
              </w:rPr>
            </w:pPr>
            <w:r>
              <w:rPr>
                <w:rFonts w:hint="eastAsia" w:cs="宋体"/>
                <w:color w:val="auto"/>
              </w:rPr>
              <w:t>姓名</w:t>
            </w:r>
          </w:p>
        </w:tc>
        <w:tc>
          <w:tcPr>
            <w:tcW w:w="1023"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autoSpaceDE w:val="0"/>
              <w:jc w:val="center"/>
              <w:rPr>
                <w:rFonts w:cs="Times New Roman"/>
                <w:color w:val="auto"/>
              </w:rPr>
            </w:pPr>
          </w:p>
        </w:tc>
        <w:tc>
          <w:tcPr>
            <w:tcW w:w="1292"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autoSpaceDE w:val="0"/>
              <w:spacing w:line="240" w:lineRule="atLeast"/>
              <w:ind w:left="240"/>
              <w:rPr>
                <w:rFonts w:cs="Times New Roman"/>
                <w:color w:val="auto"/>
              </w:rPr>
            </w:pPr>
            <w:r>
              <w:rPr>
                <w:rFonts w:hint="eastAsia" w:cs="宋体"/>
                <w:color w:val="auto"/>
              </w:rPr>
              <w:t>技术职称</w:t>
            </w:r>
          </w:p>
        </w:tc>
        <w:tc>
          <w:tcPr>
            <w:tcW w:w="1288" w:type="dxa"/>
            <w:gridSpan w:val="2"/>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autoSpaceDE w:val="0"/>
              <w:jc w:val="center"/>
              <w:rPr>
                <w:rFonts w:cs="Times New Roman"/>
                <w:color w:val="auto"/>
              </w:rPr>
            </w:pPr>
          </w:p>
        </w:tc>
        <w:tc>
          <w:tcPr>
            <w:tcW w:w="1110" w:type="dxa"/>
            <w:gridSpan w:val="2"/>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autoSpaceDE w:val="0"/>
              <w:spacing w:line="240" w:lineRule="atLeast"/>
              <w:ind w:right="340"/>
              <w:jc w:val="center"/>
              <w:rPr>
                <w:rFonts w:cs="Times New Roman"/>
                <w:color w:val="auto"/>
              </w:rPr>
            </w:pPr>
            <w:r>
              <w:rPr>
                <w:rFonts w:hint="eastAsia" w:cs="宋体"/>
                <w:color w:val="auto"/>
              </w:rPr>
              <w:t>电话</w:t>
            </w:r>
          </w:p>
        </w:tc>
        <w:tc>
          <w:tcPr>
            <w:tcW w:w="1244" w:type="dxa"/>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vAlign w:val="center"/>
          </w:tcPr>
          <w:p>
            <w:pPr>
              <w:widowControl/>
              <w:autoSpaceDE w:val="0"/>
              <w:jc w:val="center"/>
              <w:rPr>
                <w:rFonts w:cs="Times New Roman"/>
                <w:color w:val="auto"/>
              </w:rPr>
            </w:pPr>
          </w:p>
        </w:tc>
      </w:tr>
      <w:tr>
        <w:tblPrEx>
          <w:tblCellMar>
            <w:top w:w="0" w:type="dxa"/>
            <w:left w:w="0" w:type="dxa"/>
            <w:bottom w:w="0" w:type="dxa"/>
            <w:right w:w="0" w:type="dxa"/>
          </w:tblCellMar>
        </w:tblPrEx>
        <w:trPr>
          <w:trHeight w:val="451" w:hRule="atLeast"/>
        </w:trPr>
        <w:tc>
          <w:tcPr>
            <w:tcW w:w="205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autoSpaceDE w:val="0"/>
              <w:spacing w:line="240" w:lineRule="atLeast"/>
              <w:jc w:val="center"/>
              <w:rPr>
                <w:rFonts w:cs="Times New Roman"/>
                <w:color w:val="auto"/>
              </w:rPr>
            </w:pPr>
            <w:r>
              <w:rPr>
                <w:rFonts w:hint="eastAsia" w:cs="宋体"/>
                <w:color w:val="auto"/>
              </w:rPr>
              <w:t>技术负责人</w:t>
            </w:r>
          </w:p>
        </w:tc>
        <w:tc>
          <w:tcPr>
            <w:tcW w:w="899"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autoSpaceDE w:val="0"/>
              <w:spacing w:line="240" w:lineRule="atLeast"/>
              <w:jc w:val="center"/>
              <w:rPr>
                <w:rFonts w:cs="Times New Roman"/>
                <w:color w:val="auto"/>
              </w:rPr>
            </w:pPr>
            <w:r>
              <w:rPr>
                <w:rFonts w:hint="eastAsia" w:cs="宋体"/>
                <w:color w:val="auto"/>
              </w:rPr>
              <w:t>姓名</w:t>
            </w:r>
          </w:p>
        </w:tc>
        <w:tc>
          <w:tcPr>
            <w:tcW w:w="1023"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autoSpaceDE w:val="0"/>
              <w:jc w:val="center"/>
              <w:rPr>
                <w:rFonts w:cs="Times New Roman"/>
                <w:color w:val="auto"/>
              </w:rPr>
            </w:pPr>
          </w:p>
        </w:tc>
        <w:tc>
          <w:tcPr>
            <w:tcW w:w="1292"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autoSpaceDE w:val="0"/>
              <w:spacing w:line="240" w:lineRule="atLeast"/>
              <w:ind w:left="240"/>
              <w:rPr>
                <w:rFonts w:cs="Times New Roman"/>
                <w:color w:val="auto"/>
              </w:rPr>
            </w:pPr>
            <w:r>
              <w:rPr>
                <w:rFonts w:hint="eastAsia" w:cs="宋体"/>
                <w:color w:val="auto"/>
              </w:rPr>
              <w:t>技术职称</w:t>
            </w:r>
          </w:p>
        </w:tc>
        <w:tc>
          <w:tcPr>
            <w:tcW w:w="1288" w:type="dxa"/>
            <w:gridSpan w:val="2"/>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autoSpaceDE w:val="0"/>
              <w:jc w:val="center"/>
              <w:rPr>
                <w:rFonts w:cs="Times New Roman"/>
                <w:color w:val="auto"/>
              </w:rPr>
            </w:pPr>
          </w:p>
        </w:tc>
        <w:tc>
          <w:tcPr>
            <w:tcW w:w="1110" w:type="dxa"/>
            <w:gridSpan w:val="2"/>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autoSpaceDE w:val="0"/>
              <w:spacing w:line="240" w:lineRule="atLeast"/>
              <w:ind w:right="340"/>
              <w:jc w:val="center"/>
              <w:rPr>
                <w:rFonts w:cs="Times New Roman"/>
                <w:color w:val="auto"/>
              </w:rPr>
            </w:pPr>
            <w:r>
              <w:rPr>
                <w:rFonts w:hint="eastAsia" w:cs="宋体"/>
                <w:color w:val="auto"/>
              </w:rPr>
              <w:t>电话</w:t>
            </w:r>
          </w:p>
        </w:tc>
        <w:tc>
          <w:tcPr>
            <w:tcW w:w="1244" w:type="dxa"/>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vAlign w:val="center"/>
          </w:tcPr>
          <w:p>
            <w:pPr>
              <w:widowControl/>
              <w:autoSpaceDE w:val="0"/>
              <w:jc w:val="center"/>
              <w:rPr>
                <w:rFonts w:cs="Times New Roman"/>
                <w:color w:val="auto"/>
              </w:rPr>
            </w:pPr>
          </w:p>
        </w:tc>
      </w:tr>
      <w:tr>
        <w:tblPrEx>
          <w:tblCellMar>
            <w:top w:w="0" w:type="dxa"/>
            <w:left w:w="0" w:type="dxa"/>
            <w:bottom w:w="0" w:type="dxa"/>
            <w:right w:w="0" w:type="dxa"/>
          </w:tblCellMar>
        </w:tblPrEx>
        <w:trPr>
          <w:trHeight w:val="451" w:hRule="atLeast"/>
        </w:trPr>
        <w:tc>
          <w:tcPr>
            <w:tcW w:w="205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autoSpaceDE w:val="0"/>
              <w:spacing w:line="240" w:lineRule="atLeast"/>
              <w:jc w:val="center"/>
              <w:rPr>
                <w:rFonts w:cs="Times New Roman"/>
                <w:color w:val="auto"/>
              </w:rPr>
            </w:pPr>
            <w:r>
              <w:rPr>
                <w:rFonts w:hint="eastAsia" w:cs="宋体"/>
                <w:color w:val="auto"/>
              </w:rPr>
              <w:t>企业勘察资质证书</w:t>
            </w:r>
          </w:p>
        </w:tc>
        <w:tc>
          <w:tcPr>
            <w:tcW w:w="6856" w:type="dxa"/>
            <w:gridSpan w:val="8"/>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vAlign w:val="center"/>
          </w:tcPr>
          <w:p>
            <w:pPr>
              <w:widowControl/>
              <w:shd w:val="clear" w:color="auto" w:fill="FFFFFF"/>
              <w:autoSpaceDE w:val="0"/>
              <w:spacing w:line="240" w:lineRule="atLeast"/>
              <w:jc w:val="center"/>
              <w:rPr>
                <w:rFonts w:cs="Times New Roman"/>
                <w:color w:val="auto"/>
              </w:rPr>
            </w:pPr>
            <w:r>
              <w:rPr>
                <w:rFonts w:hint="eastAsia" w:cs="宋体"/>
                <w:color w:val="auto"/>
              </w:rPr>
              <w:t>类型：等级：证书号：</w:t>
            </w:r>
          </w:p>
        </w:tc>
      </w:tr>
      <w:tr>
        <w:tblPrEx>
          <w:tblCellMar>
            <w:top w:w="0" w:type="dxa"/>
            <w:left w:w="0" w:type="dxa"/>
            <w:bottom w:w="0" w:type="dxa"/>
            <w:right w:w="0" w:type="dxa"/>
          </w:tblCellMar>
        </w:tblPrEx>
        <w:trPr>
          <w:trHeight w:val="446" w:hRule="atLeast"/>
        </w:trPr>
        <w:tc>
          <w:tcPr>
            <w:tcW w:w="205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autoSpaceDE w:val="0"/>
              <w:spacing w:line="240" w:lineRule="atLeast"/>
              <w:jc w:val="center"/>
              <w:rPr>
                <w:rFonts w:cs="Times New Roman"/>
                <w:color w:val="auto"/>
              </w:rPr>
            </w:pPr>
            <w:r>
              <w:rPr>
                <w:rFonts w:hint="eastAsia" w:cs="宋体"/>
                <w:color w:val="auto"/>
              </w:rPr>
              <w:t>营业执照号</w:t>
            </w:r>
          </w:p>
        </w:tc>
        <w:tc>
          <w:tcPr>
            <w:tcW w:w="3214" w:type="dxa"/>
            <w:gridSpan w:val="3"/>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autoSpaceDE w:val="0"/>
              <w:jc w:val="center"/>
              <w:rPr>
                <w:rFonts w:cs="Times New Roman"/>
                <w:color w:val="auto"/>
              </w:rPr>
            </w:pPr>
          </w:p>
        </w:tc>
        <w:tc>
          <w:tcPr>
            <w:tcW w:w="3642" w:type="dxa"/>
            <w:gridSpan w:val="5"/>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vAlign w:val="center"/>
          </w:tcPr>
          <w:p>
            <w:pPr>
              <w:widowControl/>
              <w:shd w:val="clear" w:color="auto" w:fill="FFFFFF"/>
              <w:autoSpaceDE w:val="0"/>
              <w:spacing w:line="240" w:lineRule="atLeast"/>
              <w:jc w:val="center"/>
              <w:rPr>
                <w:rFonts w:cs="Times New Roman"/>
                <w:color w:val="auto"/>
              </w:rPr>
            </w:pPr>
            <w:r>
              <w:rPr>
                <w:rFonts w:hint="eastAsia" w:cs="宋体"/>
                <w:color w:val="auto"/>
              </w:rPr>
              <w:t>员工总人数：</w:t>
            </w:r>
          </w:p>
        </w:tc>
      </w:tr>
      <w:tr>
        <w:tblPrEx>
          <w:tblCellMar>
            <w:top w:w="0" w:type="dxa"/>
            <w:left w:w="0" w:type="dxa"/>
            <w:bottom w:w="0" w:type="dxa"/>
            <w:right w:w="0" w:type="dxa"/>
          </w:tblCellMar>
        </w:tblPrEx>
        <w:trPr>
          <w:trHeight w:val="451" w:hRule="atLeast"/>
        </w:trPr>
        <w:tc>
          <w:tcPr>
            <w:tcW w:w="205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autoSpaceDE w:val="0"/>
              <w:spacing w:line="240" w:lineRule="atLeast"/>
              <w:jc w:val="center"/>
              <w:rPr>
                <w:rFonts w:cs="Times New Roman"/>
                <w:color w:val="auto"/>
              </w:rPr>
            </w:pPr>
            <w:r>
              <w:rPr>
                <w:rFonts w:hint="eastAsia" w:cs="宋体"/>
                <w:color w:val="auto"/>
              </w:rPr>
              <w:t>注册资本</w:t>
            </w:r>
          </w:p>
        </w:tc>
        <w:tc>
          <w:tcPr>
            <w:tcW w:w="3214" w:type="dxa"/>
            <w:gridSpan w:val="3"/>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autoSpaceDE w:val="0"/>
              <w:jc w:val="center"/>
              <w:rPr>
                <w:rFonts w:cs="Times New Roman"/>
                <w:color w:val="auto"/>
              </w:rPr>
            </w:pPr>
          </w:p>
        </w:tc>
        <w:tc>
          <w:tcPr>
            <w:tcW w:w="414" w:type="dxa"/>
            <w:vMerge w:val="restart"/>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autoSpaceDE w:val="0"/>
              <w:spacing w:after="180" w:line="240" w:lineRule="atLeast"/>
              <w:jc w:val="center"/>
              <w:rPr>
                <w:rFonts w:cs="Times New Roman"/>
                <w:color w:val="auto"/>
              </w:rPr>
            </w:pPr>
            <w:r>
              <w:rPr>
                <w:rFonts w:hint="eastAsia" w:cs="宋体"/>
                <w:color w:val="auto"/>
              </w:rPr>
              <w:t>其</w:t>
            </w:r>
          </w:p>
          <w:p>
            <w:pPr>
              <w:widowControl/>
              <w:shd w:val="clear" w:color="auto" w:fill="FFFFFF"/>
              <w:autoSpaceDE w:val="0"/>
              <w:spacing w:before="180" w:line="240" w:lineRule="atLeast"/>
              <w:jc w:val="center"/>
              <w:rPr>
                <w:rFonts w:cs="Times New Roman"/>
                <w:color w:val="auto"/>
              </w:rPr>
            </w:pPr>
            <w:r>
              <w:rPr>
                <w:rFonts w:hint="eastAsia" w:cs="宋体"/>
                <w:color w:val="auto"/>
              </w:rPr>
              <w:t>中</w:t>
            </w:r>
          </w:p>
        </w:tc>
        <w:tc>
          <w:tcPr>
            <w:tcW w:w="1701" w:type="dxa"/>
            <w:gridSpan w:val="2"/>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autoSpaceDE w:val="0"/>
              <w:spacing w:line="240" w:lineRule="atLeast"/>
              <w:jc w:val="center"/>
              <w:rPr>
                <w:rFonts w:cs="Times New Roman"/>
                <w:color w:val="auto"/>
              </w:rPr>
            </w:pPr>
            <w:r>
              <w:rPr>
                <w:rFonts w:hint="eastAsia" w:cs="宋体"/>
                <w:color w:val="auto"/>
              </w:rPr>
              <w:t>高级职称人员</w:t>
            </w:r>
          </w:p>
        </w:tc>
        <w:tc>
          <w:tcPr>
            <w:tcW w:w="1527" w:type="dxa"/>
            <w:gridSpan w:val="2"/>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vAlign w:val="center"/>
          </w:tcPr>
          <w:p>
            <w:pPr>
              <w:widowControl/>
              <w:autoSpaceDE w:val="0"/>
              <w:jc w:val="center"/>
              <w:rPr>
                <w:rFonts w:cs="Times New Roman"/>
                <w:color w:val="auto"/>
              </w:rPr>
            </w:pPr>
          </w:p>
        </w:tc>
      </w:tr>
      <w:tr>
        <w:tblPrEx>
          <w:tblCellMar>
            <w:top w:w="0" w:type="dxa"/>
            <w:left w:w="0" w:type="dxa"/>
            <w:bottom w:w="0" w:type="dxa"/>
            <w:right w:w="0" w:type="dxa"/>
          </w:tblCellMar>
        </w:tblPrEx>
        <w:trPr>
          <w:trHeight w:val="451" w:hRule="atLeast"/>
        </w:trPr>
        <w:tc>
          <w:tcPr>
            <w:tcW w:w="2054" w:type="dxa"/>
            <w:tcBorders>
              <w:top w:val="single" w:color="000000" w:sz="4" w:space="0"/>
              <w:left w:val="single" w:color="000000" w:sz="4" w:space="0"/>
              <w:bottom w:val="nil"/>
              <w:right w:val="nil"/>
            </w:tcBorders>
            <w:shd w:val="clear" w:color="auto" w:fill="FFFFFF"/>
            <w:vAlign w:val="center"/>
          </w:tcPr>
          <w:p>
            <w:pPr>
              <w:widowControl/>
              <w:shd w:val="clear" w:color="auto" w:fill="FFFFFF"/>
              <w:autoSpaceDE w:val="0"/>
              <w:spacing w:line="240" w:lineRule="atLeast"/>
              <w:jc w:val="center"/>
              <w:rPr>
                <w:rFonts w:cs="Times New Roman"/>
                <w:color w:val="auto"/>
              </w:rPr>
            </w:pPr>
            <w:r>
              <w:rPr>
                <w:rFonts w:hint="eastAsia" w:cs="宋体"/>
                <w:color w:val="auto"/>
              </w:rPr>
              <w:t>成立日期</w:t>
            </w:r>
          </w:p>
        </w:tc>
        <w:tc>
          <w:tcPr>
            <w:tcW w:w="3214" w:type="dxa"/>
            <w:gridSpan w:val="3"/>
            <w:tcBorders>
              <w:top w:val="single" w:color="000000" w:sz="4" w:space="0"/>
              <w:left w:val="single" w:color="000000" w:sz="4" w:space="0"/>
              <w:bottom w:val="nil"/>
              <w:right w:val="nil"/>
            </w:tcBorders>
            <w:shd w:val="clear" w:color="auto" w:fill="FFFFFF"/>
            <w:vAlign w:val="center"/>
          </w:tcPr>
          <w:p>
            <w:pPr>
              <w:widowControl/>
              <w:autoSpaceDE w:val="0"/>
              <w:jc w:val="center"/>
              <w:rPr>
                <w:rFonts w:cs="Times New Roman"/>
                <w:color w:val="auto"/>
              </w:rPr>
            </w:pPr>
          </w:p>
        </w:tc>
        <w:tc>
          <w:tcPr>
            <w:tcW w:w="414" w:type="dxa"/>
            <w:vMerge w:val="continue"/>
            <w:tcBorders>
              <w:top w:val="single" w:color="000000" w:sz="4" w:space="0"/>
              <w:left w:val="single" w:color="000000" w:sz="4" w:space="0"/>
              <w:bottom w:val="nil"/>
              <w:right w:val="nil"/>
            </w:tcBorders>
            <w:vAlign w:val="center"/>
          </w:tcPr>
          <w:p>
            <w:pPr>
              <w:widowControl/>
              <w:jc w:val="left"/>
              <w:rPr>
                <w:rFonts w:cs="Times New Roman"/>
                <w:color w:val="auto"/>
              </w:rPr>
            </w:pPr>
          </w:p>
        </w:tc>
        <w:tc>
          <w:tcPr>
            <w:tcW w:w="1701" w:type="dxa"/>
            <w:gridSpan w:val="2"/>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autoSpaceDE w:val="0"/>
              <w:spacing w:line="240" w:lineRule="atLeast"/>
              <w:jc w:val="center"/>
              <w:rPr>
                <w:rFonts w:cs="Times New Roman"/>
                <w:color w:val="auto"/>
              </w:rPr>
            </w:pPr>
            <w:r>
              <w:rPr>
                <w:rFonts w:hint="eastAsia" w:cs="宋体"/>
                <w:color w:val="auto"/>
              </w:rPr>
              <w:t>中级职称人员</w:t>
            </w:r>
          </w:p>
        </w:tc>
        <w:tc>
          <w:tcPr>
            <w:tcW w:w="1527" w:type="dxa"/>
            <w:gridSpan w:val="2"/>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vAlign w:val="center"/>
          </w:tcPr>
          <w:p>
            <w:pPr>
              <w:widowControl/>
              <w:autoSpaceDE w:val="0"/>
              <w:jc w:val="center"/>
              <w:rPr>
                <w:rFonts w:cs="Times New Roman"/>
                <w:color w:val="auto"/>
              </w:rPr>
            </w:pPr>
          </w:p>
        </w:tc>
      </w:tr>
      <w:tr>
        <w:tblPrEx>
          <w:tblCellMar>
            <w:top w:w="0" w:type="dxa"/>
            <w:left w:w="0" w:type="dxa"/>
            <w:bottom w:w="0" w:type="dxa"/>
            <w:right w:w="0" w:type="dxa"/>
          </w:tblCellMar>
        </w:tblPrEx>
        <w:trPr>
          <w:trHeight w:val="451" w:hRule="atLeast"/>
        </w:trPr>
        <w:tc>
          <w:tcPr>
            <w:tcW w:w="2054" w:type="dxa"/>
            <w:tcBorders>
              <w:top w:val="single" w:color="000000" w:sz="4" w:space="0"/>
              <w:left w:val="single" w:color="000000" w:sz="4" w:space="0"/>
              <w:bottom w:val="nil"/>
              <w:right w:val="nil"/>
            </w:tcBorders>
            <w:shd w:val="clear" w:color="auto" w:fill="FFFFFF"/>
            <w:vAlign w:val="center"/>
          </w:tcPr>
          <w:p>
            <w:pPr>
              <w:widowControl/>
              <w:shd w:val="clear" w:color="auto" w:fill="FFFFFF"/>
              <w:autoSpaceDE w:val="0"/>
              <w:spacing w:line="240" w:lineRule="atLeast"/>
              <w:ind w:left="200"/>
              <w:rPr>
                <w:rFonts w:cs="Times New Roman"/>
                <w:color w:val="auto"/>
              </w:rPr>
            </w:pPr>
            <w:r>
              <w:rPr>
                <w:rFonts w:hint="eastAsia" w:cs="宋体"/>
                <w:color w:val="auto"/>
              </w:rPr>
              <w:t>基本账户开户银行</w:t>
            </w:r>
          </w:p>
        </w:tc>
        <w:tc>
          <w:tcPr>
            <w:tcW w:w="3214" w:type="dxa"/>
            <w:gridSpan w:val="3"/>
            <w:tcBorders>
              <w:top w:val="single" w:color="000000" w:sz="4" w:space="0"/>
              <w:left w:val="single" w:color="000000" w:sz="4" w:space="0"/>
              <w:bottom w:val="nil"/>
              <w:right w:val="nil"/>
            </w:tcBorders>
            <w:shd w:val="clear" w:color="auto" w:fill="FFFFFF"/>
            <w:vAlign w:val="center"/>
          </w:tcPr>
          <w:p>
            <w:pPr>
              <w:widowControl/>
              <w:autoSpaceDE w:val="0"/>
              <w:jc w:val="center"/>
              <w:rPr>
                <w:rFonts w:cs="Times New Roman"/>
                <w:color w:val="auto"/>
              </w:rPr>
            </w:pPr>
          </w:p>
        </w:tc>
        <w:tc>
          <w:tcPr>
            <w:tcW w:w="414" w:type="dxa"/>
            <w:vMerge w:val="continue"/>
            <w:tcBorders>
              <w:top w:val="single" w:color="000000" w:sz="4" w:space="0"/>
              <w:left w:val="single" w:color="000000" w:sz="4" w:space="0"/>
              <w:bottom w:val="nil"/>
              <w:right w:val="nil"/>
            </w:tcBorders>
            <w:vAlign w:val="center"/>
          </w:tcPr>
          <w:p>
            <w:pPr>
              <w:widowControl/>
              <w:jc w:val="left"/>
              <w:rPr>
                <w:rFonts w:cs="Times New Roman"/>
                <w:color w:val="auto"/>
              </w:rPr>
            </w:pPr>
          </w:p>
        </w:tc>
        <w:tc>
          <w:tcPr>
            <w:tcW w:w="1701" w:type="dxa"/>
            <w:gridSpan w:val="2"/>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autoSpaceDE w:val="0"/>
              <w:spacing w:line="240" w:lineRule="atLeast"/>
              <w:jc w:val="center"/>
              <w:rPr>
                <w:rFonts w:cs="Times New Roman"/>
                <w:color w:val="auto"/>
              </w:rPr>
            </w:pPr>
            <w:r>
              <w:rPr>
                <w:rFonts w:hint="eastAsia" w:cs="宋体"/>
                <w:color w:val="auto"/>
              </w:rPr>
              <w:t>技术人员数量</w:t>
            </w:r>
          </w:p>
        </w:tc>
        <w:tc>
          <w:tcPr>
            <w:tcW w:w="1527" w:type="dxa"/>
            <w:gridSpan w:val="2"/>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vAlign w:val="center"/>
          </w:tcPr>
          <w:p>
            <w:pPr>
              <w:widowControl/>
              <w:autoSpaceDE w:val="0"/>
              <w:jc w:val="center"/>
              <w:rPr>
                <w:rFonts w:cs="Times New Roman"/>
                <w:color w:val="auto"/>
              </w:rPr>
            </w:pPr>
          </w:p>
        </w:tc>
      </w:tr>
      <w:tr>
        <w:tblPrEx>
          <w:tblCellMar>
            <w:top w:w="0" w:type="dxa"/>
            <w:left w:w="0" w:type="dxa"/>
            <w:bottom w:w="0" w:type="dxa"/>
            <w:right w:w="0" w:type="dxa"/>
          </w:tblCellMar>
        </w:tblPrEx>
        <w:trPr>
          <w:trHeight w:val="446" w:hRule="atLeast"/>
        </w:trPr>
        <w:tc>
          <w:tcPr>
            <w:tcW w:w="2054" w:type="dxa"/>
            <w:tcBorders>
              <w:top w:val="single" w:color="000000" w:sz="4" w:space="0"/>
              <w:left w:val="single" w:color="000000" w:sz="4" w:space="0"/>
              <w:bottom w:val="nil"/>
              <w:right w:val="nil"/>
            </w:tcBorders>
            <w:shd w:val="clear" w:color="auto" w:fill="FFFFFF"/>
            <w:vAlign w:val="center"/>
          </w:tcPr>
          <w:p>
            <w:pPr>
              <w:widowControl/>
              <w:shd w:val="clear" w:color="auto" w:fill="FFFFFF"/>
              <w:autoSpaceDE w:val="0"/>
              <w:spacing w:line="240" w:lineRule="atLeast"/>
              <w:ind w:left="200"/>
              <w:rPr>
                <w:rFonts w:cs="Times New Roman"/>
                <w:color w:val="auto"/>
              </w:rPr>
            </w:pPr>
            <w:r>
              <w:rPr>
                <w:rFonts w:hint="eastAsia" w:cs="宋体"/>
                <w:color w:val="auto"/>
              </w:rPr>
              <w:t>基本账户银行账号</w:t>
            </w:r>
          </w:p>
        </w:tc>
        <w:tc>
          <w:tcPr>
            <w:tcW w:w="3214" w:type="dxa"/>
            <w:gridSpan w:val="3"/>
            <w:tcBorders>
              <w:top w:val="single" w:color="000000" w:sz="4" w:space="0"/>
              <w:left w:val="single" w:color="000000" w:sz="4" w:space="0"/>
              <w:bottom w:val="nil"/>
              <w:right w:val="nil"/>
            </w:tcBorders>
            <w:shd w:val="clear" w:color="auto" w:fill="FFFFFF"/>
            <w:vAlign w:val="center"/>
          </w:tcPr>
          <w:p>
            <w:pPr>
              <w:widowControl/>
              <w:autoSpaceDE w:val="0"/>
              <w:jc w:val="center"/>
              <w:rPr>
                <w:rFonts w:cs="Times New Roman"/>
                <w:color w:val="auto"/>
              </w:rPr>
            </w:pPr>
          </w:p>
        </w:tc>
        <w:tc>
          <w:tcPr>
            <w:tcW w:w="414" w:type="dxa"/>
            <w:vMerge w:val="continue"/>
            <w:tcBorders>
              <w:top w:val="single" w:color="000000" w:sz="4" w:space="0"/>
              <w:left w:val="single" w:color="000000" w:sz="4" w:space="0"/>
              <w:bottom w:val="nil"/>
              <w:right w:val="nil"/>
            </w:tcBorders>
            <w:vAlign w:val="center"/>
          </w:tcPr>
          <w:p>
            <w:pPr>
              <w:widowControl/>
              <w:jc w:val="left"/>
              <w:rPr>
                <w:rFonts w:cs="Times New Roman"/>
                <w:color w:val="auto"/>
              </w:rPr>
            </w:pPr>
          </w:p>
        </w:tc>
        <w:tc>
          <w:tcPr>
            <w:tcW w:w="1701" w:type="dxa"/>
            <w:gridSpan w:val="2"/>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autoSpaceDE w:val="0"/>
              <w:spacing w:line="240" w:lineRule="atLeast"/>
              <w:jc w:val="center"/>
              <w:rPr>
                <w:rFonts w:cs="Times New Roman"/>
                <w:color w:val="auto"/>
              </w:rPr>
            </w:pPr>
            <w:r>
              <w:rPr>
                <w:rFonts w:hint="eastAsia" w:cs="宋体"/>
                <w:color w:val="auto"/>
              </w:rPr>
              <w:t>各类注册人员</w:t>
            </w:r>
          </w:p>
        </w:tc>
        <w:tc>
          <w:tcPr>
            <w:tcW w:w="1527" w:type="dxa"/>
            <w:gridSpan w:val="2"/>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vAlign w:val="center"/>
          </w:tcPr>
          <w:p>
            <w:pPr>
              <w:widowControl/>
              <w:autoSpaceDE w:val="0"/>
              <w:jc w:val="center"/>
              <w:rPr>
                <w:rFonts w:cs="Times New Roman"/>
                <w:color w:val="auto"/>
              </w:rPr>
            </w:pPr>
          </w:p>
        </w:tc>
      </w:tr>
      <w:tr>
        <w:tblPrEx>
          <w:tblCellMar>
            <w:top w:w="0" w:type="dxa"/>
            <w:left w:w="0" w:type="dxa"/>
            <w:bottom w:w="0" w:type="dxa"/>
            <w:right w:w="0" w:type="dxa"/>
          </w:tblCellMar>
        </w:tblPrEx>
        <w:trPr>
          <w:trHeight w:val="451" w:hRule="atLeast"/>
        </w:trPr>
        <w:tc>
          <w:tcPr>
            <w:tcW w:w="205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autoSpaceDE w:val="0"/>
              <w:spacing w:line="240" w:lineRule="atLeast"/>
              <w:jc w:val="center"/>
              <w:rPr>
                <w:rFonts w:cs="Times New Roman"/>
                <w:color w:val="auto"/>
              </w:rPr>
            </w:pPr>
            <w:r>
              <w:rPr>
                <w:rFonts w:hint="eastAsia" w:cs="宋体"/>
                <w:color w:val="auto"/>
              </w:rPr>
              <w:t>经营范围</w:t>
            </w:r>
          </w:p>
        </w:tc>
        <w:tc>
          <w:tcPr>
            <w:tcW w:w="6856" w:type="dxa"/>
            <w:gridSpan w:val="8"/>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vAlign w:val="center"/>
          </w:tcPr>
          <w:p>
            <w:pPr>
              <w:widowControl/>
              <w:autoSpaceDE w:val="0"/>
              <w:jc w:val="center"/>
              <w:rPr>
                <w:rFonts w:cs="Times New Roman"/>
                <w:color w:val="auto"/>
              </w:rPr>
            </w:pPr>
          </w:p>
        </w:tc>
      </w:tr>
      <w:tr>
        <w:tblPrEx>
          <w:tblCellMar>
            <w:top w:w="0" w:type="dxa"/>
            <w:left w:w="0" w:type="dxa"/>
            <w:bottom w:w="0" w:type="dxa"/>
            <w:right w:w="0" w:type="dxa"/>
          </w:tblCellMar>
        </w:tblPrEx>
        <w:trPr>
          <w:trHeight w:val="3250" w:hRule="atLeast"/>
        </w:trPr>
        <w:tc>
          <w:tcPr>
            <w:tcW w:w="205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autoSpaceDE w:val="0"/>
              <w:spacing w:line="444" w:lineRule="atLeast"/>
              <w:jc w:val="center"/>
              <w:rPr>
                <w:rFonts w:cs="Times New Roman"/>
                <w:color w:val="auto"/>
              </w:rPr>
            </w:pPr>
            <w:r>
              <w:rPr>
                <w:rFonts w:hint="eastAsia" w:cs="宋体"/>
                <w:color w:val="auto"/>
              </w:rPr>
              <w:t>投标人关联企业情况</w:t>
            </w:r>
          </w:p>
        </w:tc>
        <w:tc>
          <w:tcPr>
            <w:tcW w:w="6856" w:type="dxa"/>
            <w:gridSpan w:val="8"/>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vAlign w:val="center"/>
          </w:tcPr>
          <w:p>
            <w:pPr>
              <w:widowControl/>
              <w:shd w:val="clear" w:color="auto" w:fill="FFFFFF"/>
              <w:autoSpaceDE w:val="0"/>
              <w:spacing w:line="398" w:lineRule="atLeast"/>
              <w:jc w:val="left"/>
              <w:rPr>
                <w:rFonts w:cs="Times New Roman"/>
                <w:color w:val="auto"/>
              </w:rPr>
            </w:pPr>
            <w:r>
              <w:rPr>
                <w:rFonts w:hint="eastAsia" w:cs="宋体"/>
                <w:color w:val="auto"/>
              </w:rPr>
              <w:t>投标人应提供关联企业情况，包括：</w:t>
            </w:r>
          </w:p>
          <w:p>
            <w:pPr>
              <w:widowControl/>
              <w:shd w:val="clear" w:color="auto" w:fill="FFFFFF"/>
              <w:autoSpaceDE w:val="0"/>
              <w:spacing w:line="398" w:lineRule="atLeast"/>
              <w:jc w:val="left"/>
              <w:rPr>
                <w:rFonts w:cs="Times New Roman"/>
                <w:color w:val="auto"/>
              </w:rPr>
            </w:pPr>
            <w:r>
              <w:rPr>
                <w:rFonts w:hint="eastAsia" w:cs="宋体"/>
                <w:color w:val="auto"/>
              </w:rPr>
              <w:t>（</w:t>
            </w:r>
            <w:r>
              <w:rPr>
                <w:color w:val="auto"/>
              </w:rPr>
              <w:t>1</w:t>
            </w:r>
            <w:r>
              <w:rPr>
                <w:rFonts w:hint="eastAsia" w:cs="宋体"/>
                <w:color w:val="auto"/>
              </w:rPr>
              <w:t>）投标人的所有股东名称及相应股权（出资额）比例；如投标人为上市公司，投标人应提供股权占公司股份总数</w:t>
            </w:r>
            <w:r>
              <w:rPr>
                <w:color w:val="auto"/>
                <w:u w:val="single"/>
              </w:rPr>
              <w:t>20%</w:t>
            </w:r>
            <w:r>
              <w:rPr>
                <w:rFonts w:hint="eastAsia" w:cs="宋体"/>
                <w:color w:val="auto"/>
              </w:rPr>
              <w:t>以上的所有股东名称及相应股权比例；</w:t>
            </w:r>
          </w:p>
          <w:p>
            <w:pPr>
              <w:widowControl/>
              <w:shd w:val="clear" w:color="auto" w:fill="FFFFFF"/>
              <w:autoSpaceDE w:val="0"/>
              <w:spacing w:line="398" w:lineRule="atLeast"/>
              <w:jc w:val="left"/>
              <w:rPr>
                <w:rFonts w:cs="Times New Roman"/>
                <w:color w:val="auto"/>
              </w:rPr>
            </w:pPr>
            <w:r>
              <w:rPr>
                <w:rFonts w:hint="eastAsia" w:cs="宋体"/>
                <w:color w:val="auto"/>
              </w:rPr>
              <w:t>（</w:t>
            </w:r>
            <w:r>
              <w:rPr>
                <w:color w:val="auto"/>
              </w:rPr>
              <w:t>2</w:t>
            </w:r>
            <w:r>
              <w:rPr>
                <w:rFonts w:hint="eastAsia" w:cs="宋体"/>
                <w:color w:val="auto"/>
              </w:rPr>
              <w:t>）投标人投资（控股）或管理的下属企业名称、持有股权（出资额）比例；</w:t>
            </w:r>
          </w:p>
          <w:p>
            <w:pPr>
              <w:widowControl/>
              <w:shd w:val="clear" w:color="auto" w:fill="FFFFFF"/>
              <w:autoSpaceDE w:val="0"/>
              <w:spacing w:line="398" w:lineRule="atLeast"/>
              <w:jc w:val="left"/>
              <w:rPr>
                <w:rFonts w:cs="Times New Roman"/>
                <w:color w:val="auto"/>
              </w:rPr>
            </w:pPr>
            <w:r>
              <w:rPr>
                <w:rFonts w:hint="eastAsia" w:cs="宋体"/>
                <w:color w:val="auto"/>
              </w:rPr>
              <w:t>（</w:t>
            </w:r>
            <w:r>
              <w:rPr>
                <w:color w:val="auto"/>
              </w:rPr>
              <w:t>3</w:t>
            </w:r>
            <w:r>
              <w:rPr>
                <w:rFonts w:hint="eastAsia" w:cs="宋体"/>
                <w:color w:val="auto"/>
              </w:rPr>
              <w:t>）与投标人单位负责人（即法定代表人）为同一人的其他单位名称。</w:t>
            </w:r>
          </w:p>
          <w:p>
            <w:pPr>
              <w:widowControl/>
              <w:shd w:val="clear" w:color="auto" w:fill="FFFFFF"/>
              <w:autoSpaceDE w:val="0"/>
              <w:spacing w:line="398" w:lineRule="atLeast"/>
              <w:jc w:val="left"/>
              <w:rPr>
                <w:rFonts w:cs="Times New Roman"/>
                <w:color w:val="auto"/>
              </w:rPr>
            </w:pPr>
            <w:r>
              <w:rPr>
                <w:rFonts w:hint="eastAsia" w:cs="宋体"/>
                <w:color w:val="auto"/>
              </w:rPr>
              <w:t>（</w:t>
            </w:r>
            <w:r>
              <w:rPr>
                <w:color w:val="auto"/>
              </w:rPr>
              <w:t>4</w:t>
            </w:r>
            <w:r>
              <w:rPr>
                <w:rFonts w:hint="eastAsia" w:cs="宋体"/>
                <w:color w:val="auto"/>
              </w:rPr>
              <w:t>）登记类型为全民所有制企业的，可只附主管部门信息，其主管部门视为其全资股东。</w:t>
            </w:r>
          </w:p>
        </w:tc>
      </w:tr>
      <w:tr>
        <w:tblPrEx>
          <w:tblCellMar>
            <w:top w:w="0" w:type="dxa"/>
            <w:left w:w="0" w:type="dxa"/>
            <w:bottom w:w="0" w:type="dxa"/>
            <w:right w:w="0" w:type="dxa"/>
          </w:tblCellMar>
        </w:tblPrEx>
        <w:trPr>
          <w:trHeight w:val="461" w:hRule="atLeast"/>
        </w:trPr>
        <w:tc>
          <w:tcPr>
            <w:tcW w:w="2054" w:type="dxa"/>
            <w:tcBorders>
              <w:top w:val="single" w:color="000000" w:sz="4" w:space="0"/>
              <w:left w:val="single" w:color="000000" w:sz="4" w:space="0"/>
              <w:bottom w:val="single" w:color="000000" w:sz="4" w:space="0"/>
              <w:right w:val="nil"/>
            </w:tcBorders>
            <w:shd w:val="clear" w:color="auto" w:fill="FFFFFF"/>
            <w:tcMar>
              <w:top w:w="0" w:type="dxa"/>
              <w:left w:w="31" w:type="dxa"/>
              <w:bottom w:w="0" w:type="dxa"/>
              <w:right w:w="0" w:type="dxa"/>
            </w:tcMar>
            <w:vAlign w:val="center"/>
          </w:tcPr>
          <w:p>
            <w:pPr>
              <w:widowControl/>
              <w:shd w:val="clear" w:color="auto" w:fill="FFFFFF"/>
              <w:autoSpaceDE w:val="0"/>
              <w:spacing w:line="240" w:lineRule="atLeast"/>
              <w:jc w:val="center"/>
              <w:rPr>
                <w:rFonts w:cs="Times New Roman"/>
                <w:color w:val="auto"/>
              </w:rPr>
            </w:pPr>
            <w:r>
              <w:rPr>
                <w:rFonts w:hint="eastAsia" w:cs="宋体"/>
                <w:color w:val="auto"/>
              </w:rPr>
              <w:t>备注</w:t>
            </w:r>
          </w:p>
        </w:tc>
        <w:tc>
          <w:tcPr>
            <w:tcW w:w="6856" w:type="dxa"/>
            <w:gridSpan w:val="8"/>
            <w:tcBorders>
              <w:top w:val="single" w:color="000000" w:sz="4" w:space="0"/>
              <w:left w:val="single" w:color="000000" w:sz="4" w:space="0"/>
              <w:bottom w:val="single" w:color="000000" w:sz="4" w:space="0"/>
              <w:right w:val="single" w:color="000000" w:sz="4" w:space="0"/>
            </w:tcBorders>
            <w:shd w:val="clear" w:color="auto" w:fill="FFFFFF"/>
            <w:tcMar>
              <w:top w:w="0" w:type="dxa"/>
              <w:left w:w="31" w:type="dxa"/>
              <w:bottom w:w="0" w:type="dxa"/>
              <w:right w:w="0" w:type="dxa"/>
            </w:tcMar>
            <w:vAlign w:val="center"/>
          </w:tcPr>
          <w:p>
            <w:pPr>
              <w:widowControl/>
              <w:autoSpaceDE w:val="0"/>
              <w:jc w:val="center"/>
              <w:rPr>
                <w:rFonts w:cs="Times New Roman"/>
                <w:color w:val="auto"/>
              </w:rPr>
            </w:pPr>
          </w:p>
        </w:tc>
      </w:tr>
    </w:tbl>
    <w:p>
      <w:pPr>
        <w:autoSpaceDE w:val="0"/>
        <w:autoSpaceDN w:val="0"/>
        <w:snapToGrid w:val="0"/>
        <w:spacing w:before="13" w:line="280" w:lineRule="exact"/>
        <w:jc w:val="left"/>
        <w:rPr>
          <w:rFonts w:ascii="黑体" w:hAnsi="Times New Roman" w:eastAsia="黑体" w:cs="Times New Roman"/>
          <w:color w:val="auto"/>
          <w:sz w:val="28"/>
          <w:szCs w:val="28"/>
        </w:rPr>
      </w:pPr>
    </w:p>
    <w:p>
      <w:pPr>
        <w:autoSpaceDE w:val="0"/>
        <w:autoSpaceDN w:val="0"/>
        <w:snapToGrid w:val="0"/>
        <w:spacing w:before="57" w:line="360" w:lineRule="auto"/>
        <w:ind w:left="424" w:hanging="407"/>
        <w:jc w:val="left"/>
        <w:rPr>
          <w:rFonts w:ascii="Times New Roman" w:cs="Times New Roman"/>
          <w:color w:val="auto"/>
          <w:spacing w:val="2"/>
        </w:rPr>
      </w:pPr>
      <w:r>
        <w:rPr>
          <w:rFonts w:hint="eastAsia" w:cs="宋体"/>
          <w:color w:val="auto"/>
        </w:rPr>
        <w:t>注：</w:t>
      </w:r>
      <w:r>
        <w:rPr>
          <w:color w:val="auto"/>
        </w:rPr>
        <w:t xml:space="preserve">1. </w:t>
      </w:r>
      <w:r>
        <w:rPr>
          <w:rFonts w:hint="eastAsia" w:cs="宋体"/>
          <w:color w:val="auto"/>
        </w:rPr>
        <w:t>投标人应根据招标文件第二章“投标人须知”第</w:t>
      </w:r>
      <w:r>
        <w:rPr>
          <w:color w:val="auto"/>
        </w:rPr>
        <w:t>3.5.1</w:t>
      </w:r>
      <w:r>
        <w:rPr>
          <w:rFonts w:hint="eastAsia" w:cs="宋体"/>
          <w:color w:val="auto"/>
        </w:rPr>
        <w:t>项的要求在本表后附相关证明材料。</w:t>
      </w:r>
    </w:p>
    <w:p>
      <w:pPr>
        <w:autoSpaceDE w:val="0"/>
        <w:autoSpaceDN w:val="0"/>
        <w:snapToGrid w:val="0"/>
        <w:spacing w:before="75" w:line="360" w:lineRule="auto"/>
        <w:ind w:left="16" w:right="171" w:firstLine="420"/>
        <w:rPr>
          <w:rFonts w:cs="Times New Roman"/>
          <w:color w:val="auto"/>
        </w:rPr>
      </w:pPr>
      <w:r>
        <w:rPr>
          <w:color w:val="auto"/>
        </w:rPr>
        <w:t xml:space="preserve">2. </w:t>
      </w:r>
      <w:r>
        <w:rPr>
          <w:rFonts w:hint="eastAsia" w:cs="宋体"/>
          <w:color w:val="auto"/>
        </w:rPr>
        <w:t>以联合体形式参与投标的，联合体各成员应分别填写。</w:t>
      </w:r>
    </w:p>
    <w:p>
      <w:pPr>
        <w:autoSpaceDE w:val="0"/>
        <w:autoSpaceDN w:val="0"/>
        <w:snapToGrid w:val="0"/>
        <w:spacing w:before="75" w:line="360" w:lineRule="auto"/>
        <w:ind w:left="16" w:right="171" w:firstLine="420"/>
        <w:rPr>
          <w:rFonts w:cs="Times New Roman"/>
          <w:color w:val="auto"/>
        </w:rPr>
      </w:pPr>
    </w:p>
    <w:p>
      <w:pPr>
        <w:autoSpaceDE w:val="0"/>
        <w:autoSpaceDN w:val="0"/>
        <w:snapToGrid w:val="0"/>
        <w:spacing w:before="75" w:line="360" w:lineRule="auto"/>
        <w:ind w:left="16" w:right="171" w:hanging="16"/>
        <w:jc w:val="center"/>
        <w:rPr>
          <w:rFonts w:ascii="黑体" w:hAnsi="黑体" w:eastAsia="黑体" w:cs="Times New Roman"/>
          <w:b/>
          <w:bCs/>
          <w:color w:val="auto"/>
          <w:spacing w:val="-1"/>
          <w:position w:val="-2"/>
          <w:sz w:val="28"/>
          <w:szCs w:val="28"/>
        </w:rPr>
      </w:pPr>
      <w:r>
        <w:rPr>
          <w:rFonts w:hint="eastAsia" w:ascii="黑体" w:hAnsi="黑体" w:eastAsia="黑体" w:cs="黑体"/>
          <w:b/>
          <w:bCs/>
          <w:color w:val="auto"/>
          <w:spacing w:val="-1"/>
          <w:position w:val="-2"/>
          <w:sz w:val="28"/>
          <w:szCs w:val="28"/>
        </w:rPr>
        <w:t>（二）投标人企业组织机构框图</w:t>
      </w:r>
    </w:p>
    <w:tbl>
      <w:tblPr>
        <w:tblStyle w:val="20"/>
        <w:tblW w:w="866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9" w:hRule="atLeast"/>
        </w:trPr>
        <w:tc>
          <w:tcPr>
            <w:tcW w:w="8666" w:type="dxa"/>
          </w:tcPr>
          <w:p>
            <w:pPr>
              <w:autoSpaceDE w:val="0"/>
              <w:autoSpaceDN w:val="0"/>
              <w:snapToGrid w:val="0"/>
              <w:spacing w:before="75" w:line="360" w:lineRule="auto"/>
              <w:ind w:right="171"/>
              <w:rPr>
                <w:rFonts w:cs="Times New Roman"/>
                <w:color w:val="auto"/>
                <w:spacing w:val="-1"/>
                <w:position w:val="-2"/>
              </w:rPr>
            </w:pPr>
          </w:p>
          <w:p>
            <w:pPr>
              <w:autoSpaceDE w:val="0"/>
              <w:autoSpaceDN w:val="0"/>
              <w:snapToGrid w:val="0"/>
              <w:spacing w:before="75" w:line="360" w:lineRule="auto"/>
              <w:ind w:right="171"/>
              <w:rPr>
                <w:rFonts w:cs="Times New Roman"/>
                <w:color w:val="auto"/>
                <w:spacing w:val="-1"/>
                <w:position w:val="-2"/>
              </w:rPr>
            </w:pPr>
            <w:r>
              <w:rPr>
                <w:rFonts w:hint="eastAsia" w:cs="宋体"/>
                <w:color w:val="auto"/>
                <w:spacing w:val="-1"/>
                <w:position w:val="-2"/>
              </w:rPr>
              <w:t>以框图方式表示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trPr>
        <w:tc>
          <w:tcPr>
            <w:tcW w:w="8666" w:type="dxa"/>
          </w:tcPr>
          <w:p>
            <w:pPr>
              <w:autoSpaceDE w:val="0"/>
              <w:autoSpaceDN w:val="0"/>
              <w:snapToGrid w:val="0"/>
              <w:spacing w:before="75" w:line="360" w:lineRule="auto"/>
              <w:ind w:right="171"/>
              <w:rPr>
                <w:rFonts w:cs="Times New Roman"/>
                <w:color w:val="auto"/>
                <w:spacing w:val="-1"/>
                <w:position w:val="-2"/>
              </w:rPr>
            </w:pPr>
          </w:p>
          <w:p>
            <w:pPr>
              <w:autoSpaceDE w:val="0"/>
              <w:autoSpaceDN w:val="0"/>
              <w:snapToGrid w:val="0"/>
              <w:spacing w:before="75" w:line="360" w:lineRule="auto"/>
              <w:ind w:right="171"/>
              <w:rPr>
                <w:rFonts w:cs="Times New Roman"/>
                <w:color w:val="auto"/>
                <w:spacing w:val="-1"/>
                <w:position w:val="-2"/>
              </w:rPr>
            </w:pPr>
            <w:r>
              <w:rPr>
                <w:rFonts w:hint="eastAsia" w:cs="宋体"/>
                <w:color w:val="auto"/>
                <w:spacing w:val="-1"/>
                <w:position w:val="-2"/>
              </w:rPr>
              <w:t>说明</w:t>
            </w:r>
          </w:p>
        </w:tc>
      </w:tr>
    </w:tbl>
    <w:p>
      <w:pPr>
        <w:autoSpaceDE w:val="0"/>
        <w:autoSpaceDN w:val="0"/>
        <w:snapToGrid w:val="0"/>
        <w:spacing w:before="75" w:line="360" w:lineRule="auto"/>
        <w:ind w:left="16" w:right="171" w:hanging="16"/>
        <w:jc w:val="center"/>
        <w:rPr>
          <w:rFonts w:ascii="黑体" w:hAnsi="黑体" w:eastAsia="黑体" w:cs="黑体"/>
          <w:b/>
          <w:bCs/>
          <w:color w:val="auto"/>
          <w:spacing w:val="-1"/>
          <w:position w:val="-2"/>
          <w:sz w:val="28"/>
          <w:szCs w:val="28"/>
        </w:rPr>
      </w:pPr>
    </w:p>
    <w:p>
      <w:pPr>
        <w:autoSpaceDE w:val="0"/>
        <w:autoSpaceDN w:val="0"/>
        <w:snapToGrid w:val="0"/>
        <w:spacing w:before="75" w:line="360" w:lineRule="auto"/>
        <w:ind w:left="16" w:right="171" w:hanging="16"/>
        <w:jc w:val="center"/>
        <w:rPr>
          <w:rFonts w:ascii="黑体" w:hAnsi="黑体" w:eastAsia="黑体" w:cs="黑体"/>
          <w:b/>
          <w:bCs/>
          <w:color w:val="auto"/>
          <w:spacing w:val="-1"/>
          <w:position w:val="-2"/>
          <w:sz w:val="28"/>
          <w:szCs w:val="28"/>
        </w:rPr>
      </w:pPr>
    </w:p>
    <w:p>
      <w:pPr>
        <w:autoSpaceDE w:val="0"/>
        <w:autoSpaceDN w:val="0"/>
        <w:snapToGrid w:val="0"/>
        <w:spacing w:before="75" w:line="360" w:lineRule="auto"/>
        <w:ind w:left="16" w:right="171" w:hanging="16"/>
        <w:jc w:val="center"/>
        <w:rPr>
          <w:rFonts w:ascii="黑体" w:hAnsi="黑体" w:eastAsia="黑体" w:cs="黑体"/>
          <w:b/>
          <w:bCs/>
          <w:color w:val="auto"/>
          <w:spacing w:val="-1"/>
          <w:position w:val="-2"/>
          <w:sz w:val="28"/>
          <w:szCs w:val="28"/>
        </w:rPr>
      </w:pPr>
    </w:p>
    <w:p>
      <w:pPr>
        <w:autoSpaceDE w:val="0"/>
        <w:autoSpaceDN w:val="0"/>
        <w:snapToGrid w:val="0"/>
        <w:spacing w:before="75" w:line="360" w:lineRule="auto"/>
        <w:ind w:left="16" w:right="171" w:hanging="16"/>
        <w:jc w:val="center"/>
        <w:rPr>
          <w:rFonts w:ascii="黑体" w:hAnsi="黑体" w:eastAsia="黑体" w:cs="黑体"/>
          <w:b/>
          <w:bCs/>
          <w:color w:val="auto"/>
          <w:spacing w:val="-1"/>
          <w:position w:val="-2"/>
          <w:sz w:val="28"/>
          <w:szCs w:val="28"/>
        </w:rPr>
      </w:pPr>
    </w:p>
    <w:p>
      <w:pPr>
        <w:autoSpaceDE w:val="0"/>
        <w:autoSpaceDN w:val="0"/>
        <w:snapToGrid w:val="0"/>
        <w:spacing w:before="75" w:line="360" w:lineRule="auto"/>
        <w:ind w:left="16" w:right="171" w:hanging="16"/>
        <w:jc w:val="center"/>
        <w:rPr>
          <w:rFonts w:ascii="黑体" w:hAnsi="黑体" w:eastAsia="黑体" w:cs="黑体"/>
          <w:b/>
          <w:bCs/>
          <w:color w:val="auto"/>
          <w:spacing w:val="-1"/>
          <w:position w:val="-2"/>
          <w:sz w:val="28"/>
          <w:szCs w:val="28"/>
        </w:rPr>
      </w:pPr>
    </w:p>
    <w:p>
      <w:pPr>
        <w:autoSpaceDE w:val="0"/>
        <w:autoSpaceDN w:val="0"/>
        <w:snapToGrid w:val="0"/>
        <w:spacing w:before="75" w:line="360" w:lineRule="auto"/>
        <w:ind w:left="16" w:right="171" w:hanging="16"/>
        <w:jc w:val="center"/>
        <w:rPr>
          <w:rFonts w:ascii="黑体" w:hAnsi="黑体" w:eastAsia="黑体" w:cs="黑体"/>
          <w:b/>
          <w:bCs/>
          <w:color w:val="auto"/>
          <w:spacing w:val="-1"/>
          <w:position w:val="-2"/>
          <w:sz w:val="28"/>
          <w:szCs w:val="28"/>
        </w:rPr>
      </w:pPr>
    </w:p>
    <w:p>
      <w:pPr>
        <w:autoSpaceDE w:val="0"/>
        <w:autoSpaceDN w:val="0"/>
        <w:snapToGrid w:val="0"/>
        <w:spacing w:before="75" w:line="360" w:lineRule="auto"/>
        <w:ind w:left="16" w:right="171" w:hanging="16"/>
        <w:jc w:val="center"/>
        <w:rPr>
          <w:rFonts w:ascii="黑体" w:hAnsi="Times New Roman" w:eastAsia="黑体" w:cs="Times New Roman"/>
          <w:b/>
          <w:bCs/>
          <w:color w:val="auto"/>
          <w:sz w:val="28"/>
          <w:szCs w:val="28"/>
        </w:rPr>
      </w:pPr>
      <w:r>
        <w:rPr>
          <w:rFonts w:hint="eastAsia" w:cs="宋体"/>
          <w:b/>
          <w:bCs/>
          <w:color w:val="auto"/>
          <w:spacing w:val="-1"/>
          <w:position w:val="-2"/>
          <w:sz w:val="28"/>
          <w:szCs w:val="28"/>
        </w:rPr>
        <w:t>（</w:t>
      </w:r>
      <w:r>
        <w:rPr>
          <w:rFonts w:hint="eastAsia" w:ascii="黑体" w:hAnsi="黑体" w:eastAsia="黑体" w:cs="黑体"/>
          <w:b/>
          <w:bCs/>
          <w:color w:val="auto"/>
          <w:position w:val="-2"/>
          <w:sz w:val="28"/>
          <w:szCs w:val="28"/>
        </w:rPr>
        <w:t>三</w:t>
      </w:r>
      <w:r>
        <w:rPr>
          <w:rFonts w:hint="eastAsia" w:ascii="黑体" w:hAnsi="黑体" w:eastAsia="黑体" w:cs="黑体"/>
          <w:b/>
          <w:bCs/>
          <w:color w:val="auto"/>
          <w:spacing w:val="-1"/>
          <w:position w:val="-2"/>
          <w:sz w:val="28"/>
          <w:szCs w:val="28"/>
        </w:rPr>
        <w:t>）</w:t>
      </w:r>
      <w:r>
        <w:rPr>
          <w:rFonts w:hint="eastAsia" w:ascii="黑体" w:hAnsi="黑体" w:eastAsia="黑体" w:cs="黑体"/>
          <w:b/>
          <w:bCs/>
          <w:color w:val="auto"/>
          <w:position w:val="-2"/>
          <w:sz w:val="28"/>
          <w:szCs w:val="28"/>
        </w:rPr>
        <w:t>近年完成的类似</w:t>
      </w:r>
      <w:r>
        <w:rPr>
          <w:rFonts w:hint="eastAsia" w:ascii="黑体" w:hAnsi="黑体" w:eastAsia="黑体" w:cs="黑体"/>
          <w:b/>
          <w:bCs/>
          <w:color w:val="auto"/>
          <w:spacing w:val="2"/>
          <w:position w:val="-2"/>
          <w:sz w:val="28"/>
          <w:szCs w:val="28"/>
        </w:rPr>
        <w:t>项</w:t>
      </w:r>
      <w:r>
        <w:rPr>
          <w:rFonts w:hint="eastAsia" w:ascii="黑体" w:hAnsi="黑体" w:eastAsia="黑体" w:cs="黑体"/>
          <w:b/>
          <w:bCs/>
          <w:color w:val="auto"/>
          <w:position w:val="-2"/>
          <w:sz w:val="28"/>
          <w:szCs w:val="28"/>
        </w:rPr>
        <w:t>目情况表</w:t>
      </w:r>
    </w:p>
    <w:tbl>
      <w:tblPr>
        <w:tblStyle w:val="20"/>
        <w:tblW w:w="8910" w:type="dxa"/>
        <w:tblInd w:w="2" w:type="dxa"/>
        <w:tblLayout w:type="fixed"/>
        <w:tblCellMar>
          <w:top w:w="0" w:type="dxa"/>
          <w:left w:w="0" w:type="dxa"/>
          <w:bottom w:w="0" w:type="dxa"/>
          <w:right w:w="0" w:type="dxa"/>
        </w:tblCellMar>
      </w:tblPr>
      <w:tblGrid>
        <w:gridCol w:w="2373"/>
        <w:gridCol w:w="6537"/>
      </w:tblGrid>
      <w:tr>
        <w:tblPrEx>
          <w:tblCellMar>
            <w:top w:w="0" w:type="dxa"/>
            <w:left w:w="0" w:type="dxa"/>
            <w:bottom w:w="0" w:type="dxa"/>
            <w:right w:w="0" w:type="dxa"/>
          </w:tblCellMar>
        </w:tblPrEx>
        <w:trPr>
          <w:trHeight w:val="638" w:hRule="atLeast"/>
        </w:trPr>
        <w:tc>
          <w:tcPr>
            <w:tcW w:w="2373"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autoSpaceDE w:val="0"/>
              <w:autoSpaceDN w:val="0"/>
              <w:snapToGrid w:val="0"/>
              <w:spacing w:before="57"/>
              <w:ind w:right="-86"/>
              <w:jc w:val="center"/>
              <w:rPr>
                <w:rFonts w:cs="Times New Roman"/>
                <w:color w:val="auto"/>
              </w:rPr>
            </w:pPr>
            <w:r>
              <w:rPr>
                <w:rFonts w:hint="eastAsia" w:cs="宋体"/>
                <w:color w:val="auto"/>
              </w:rPr>
              <w:t>序号</w:t>
            </w:r>
          </w:p>
        </w:tc>
        <w:tc>
          <w:tcPr>
            <w:tcW w:w="6537" w:type="dxa"/>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tcPr>
          <w:p>
            <w:pPr>
              <w:autoSpaceDE w:val="0"/>
              <w:autoSpaceDN w:val="0"/>
              <w:snapToGrid w:val="0"/>
              <w:spacing w:before="57"/>
              <w:ind w:right="-86"/>
              <w:jc w:val="left"/>
              <w:rPr>
                <w:rFonts w:cs="Times New Roman"/>
                <w:color w:val="auto"/>
              </w:rPr>
            </w:pPr>
          </w:p>
        </w:tc>
      </w:tr>
      <w:tr>
        <w:tblPrEx>
          <w:tblCellMar>
            <w:top w:w="0" w:type="dxa"/>
            <w:left w:w="0" w:type="dxa"/>
            <w:bottom w:w="0" w:type="dxa"/>
            <w:right w:w="0" w:type="dxa"/>
          </w:tblCellMar>
        </w:tblPrEx>
        <w:trPr>
          <w:trHeight w:val="638" w:hRule="atLeast"/>
        </w:trPr>
        <w:tc>
          <w:tcPr>
            <w:tcW w:w="2373"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autoSpaceDE w:val="0"/>
              <w:autoSpaceDN w:val="0"/>
              <w:snapToGrid w:val="0"/>
              <w:spacing w:before="57"/>
              <w:ind w:right="-86"/>
              <w:jc w:val="center"/>
              <w:rPr>
                <w:rFonts w:cs="Times New Roman"/>
                <w:color w:val="auto"/>
              </w:rPr>
            </w:pPr>
            <w:r>
              <w:rPr>
                <w:rFonts w:hint="eastAsia" w:cs="宋体"/>
                <w:color w:val="auto"/>
              </w:rPr>
              <w:t>项目名称</w:t>
            </w:r>
          </w:p>
        </w:tc>
        <w:tc>
          <w:tcPr>
            <w:tcW w:w="6537" w:type="dxa"/>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tcPr>
          <w:p>
            <w:pPr>
              <w:autoSpaceDE w:val="0"/>
              <w:autoSpaceDN w:val="0"/>
              <w:snapToGrid w:val="0"/>
              <w:spacing w:before="57"/>
              <w:ind w:right="-86"/>
              <w:jc w:val="left"/>
              <w:rPr>
                <w:rFonts w:cs="Times New Roman"/>
                <w:color w:val="auto"/>
              </w:rPr>
            </w:pPr>
          </w:p>
        </w:tc>
      </w:tr>
      <w:tr>
        <w:tblPrEx>
          <w:tblCellMar>
            <w:top w:w="0" w:type="dxa"/>
            <w:left w:w="0" w:type="dxa"/>
            <w:bottom w:w="0" w:type="dxa"/>
            <w:right w:w="0" w:type="dxa"/>
          </w:tblCellMar>
        </w:tblPrEx>
        <w:trPr>
          <w:trHeight w:val="634" w:hRule="atLeast"/>
        </w:trPr>
        <w:tc>
          <w:tcPr>
            <w:tcW w:w="2373"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autoSpaceDE w:val="0"/>
              <w:autoSpaceDN w:val="0"/>
              <w:snapToGrid w:val="0"/>
              <w:spacing w:before="57"/>
              <w:ind w:right="-86"/>
              <w:jc w:val="center"/>
              <w:rPr>
                <w:rFonts w:cs="Times New Roman"/>
                <w:color w:val="auto"/>
              </w:rPr>
            </w:pPr>
            <w:r>
              <w:rPr>
                <w:rFonts w:hint="eastAsia" w:cs="宋体"/>
                <w:color w:val="auto"/>
              </w:rPr>
              <w:t>项目所在地</w:t>
            </w:r>
          </w:p>
        </w:tc>
        <w:tc>
          <w:tcPr>
            <w:tcW w:w="6537" w:type="dxa"/>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tcPr>
          <w:p>
            <w:pPr>
              <w:autoSpaceDE w:val="0"/>
              <w:autoSpaceDN w:val="0"/>
              <w:snapToGrid w:val="0"/>
              <w:spacing w:before="57"/>
              <w:ind w:right="-86"/>
              <w:jc w:val="left"/>
              <w:rPr>
                <w:rFonts w:cs="Times New Roman"/>
                <w:color w:val="auto"/>
              </w:rPr>
            </w:pPr>
          </w:p>
        </w:tc>
      </w:tr>
      <w:tr>
        <w:tblPrEx>
          <w:tblCellMar>
            <w:top w:w="0" w:type="dxa"/>
            <w:left w:w="0" w:type="dxa"/>
            <w:bottom w:w="0" w:type="dxa"/>
            <w:right w:w="0" w:type="dxa"/>
          </w:tblCellMar>
        </w:tblPrEx>
        <w:trPr>
          <w:trHeight w:val="634" w:hRule="atLeast"/>
        </w:trPr>
        <w:tc>
          <w:tcPr>
            <w:tcW w:w="2373"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autoSpaceDE w:val="0"/>
              <w:autoSpaceDN w:val="0"/>
              <w:snapToGrid w:val="0"/>
              <w:spacing w:before="57"/>
              <w:ind w:right="-86"/>
              <w:jc w:val="center"/>
              <w:rPr>
                <w:rFonts w:cs="Times New Roman"/>
                <w:color w:val="auto"/>
              </w:rPr>
            </w:pPr>
            <w:r>
              <w:rPr>
                <w:rFonts w:hint="eastAsia" w:cs="宋体"/>
                <w:color w:val="auto"/>
              </w:rPr>
              <w:t>发包人名称</w:t>
            </w:r>
          </w:p>
        </w:tc>
        <w:tc>
          <w:tcPr>
            <w:tcW w:w="6537" w:type="dxa"/>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tcPr>
          <w:p>
            <w:pPr>
              <w:autoSpaceDE w:val="0"/>
              <w:autoSpaceDN w:val="0"/>
              <w:snapToGrid w:val="0"/>
              <w:spacing w:before="57"/>
              <w:ind w:right="-86"/>
              <w:jc w:val="left"/>
              <w:rPr>
                <w:rFonts w:cs="Times New Roman"/>
                <w:color w:val="auto"/>
              </w:rPr>
            </w:pPr>
          </w:p>
        </w:tc>
      </w:tr>
      <w:tr>
        <w:tblPrEx>
          <w:tblCellMar>
            <w:top w:w="0" w:type="dxa"/>
            <w:left w:w="0" w:type="dxa"/>
            <w:bottom w:w="0" w:type="dxa"/>
            <w:right w:w="0" w:type="dxa"/>
          </w:tblCellMar>
        </w:tblPrEx>
        <w:trPr>
          <w:trHeight w:val="634" w:hRule="atLeast"/>
        </w:trPr>
        <w:tc>
          <w:tcPr>
            <w:tcW w:w="2373"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autoSpaceDE w:val="0"/>
              <w:autoSpaceDN w:val="0"/>
              <w:snapToGrid w:val="0"/>
              <w:spacing w:before="57"/>
              <w:ind w:right="-86"/>
              <w:jc w:val="center"/>
              <w:rPr>
                <w:rFonts w:cs="Times New Roman"/>
                <w:color w:val="auto"/>
              </w:rPr>
            </w:pPr>
            <w:r>
              <w:rPr>
                <w:rFonts w:hint="eastAsia" w:cs="宋体"/>
                <w:color w:val="auto"/>
              </w:rPr>
              <w:t>发包人地址</w:t>
            </w:r>
          </w:p>
        </w:tc>
        <w:tc>
          <w:tcPr>
            <w:tcW w:w="6537" w:type="dxa"/>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tcPr>
          <w:p>
            <w:pPr>
              <w:autoSpaceDE w:val="0"/>
              <w:autoSpaceDN w:val="0"/>
              <w:snapToGrid w:val="0"/>
              <w:spacing w:before="57"/>
              <w:ind w:right="-86"/>
              <w:jc w:val="left"/>
              <w:rPr>
                <w:rFonts w:cs="Times New Roman"/>
                <w:color w:val="auto"/>
              </w:rPr>
            </w:pPr>
          </w:p>
        </w:tc>
      </w:tr>
      <w:tr>
        <w:tblPrEx>
          <w:tblCellMar>
            <w:top w:w="0" w:type="dxa"/>
            <w:left w:w="0" w:type="dxa"/>
            <w:bottom w:w="0" w:type="dxa"/>
            <w:right w:w="0" w:type="dxa"/>
          </w:tblCellMar>
        </w:tblPrEx>
        <w:trPr>
          <w:trHeight w:val="634" w:hRule="atLeast"/>
        </w:trPr>
        <w:tc>
          <w:tcPr>
            <w:tcW w:w="2373"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autoSpaceDE w:val="0"/>
              <w:autoSpaceDN w:val="0"/>
              <w:snapToGrid w:val="0"/>
              <w:spacing w:before="57"/>
              <w:ind w:right="-86"/>
              <w:jc w:val="center"/>
              <w:rPr>
                <w:rFonts w:cs="Times New Roman"/>
                <w:color w:val="auto"/>
              </w:rPr>
            </w:pPr>
            <w:r>
              <w:rPr>
                <w:rFonts w:hint="eastAsia" w:cs="宋体"/>
                <w:color w:val="auto"/>
              </w:rPr>
              <w:t>发包人电话</w:t>
            </w:r>
          </w:p>
        </w:tc>
        <w:tc>
          <w:tcPr>
            <w:tcW w:w="6537" w:type="dxa"/>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tcPr>
          <w:p>
            <w:pPr>
              <w:autoSpaceDE w:val="0"/>
              <w:autoSpaceDN w:val="0"/>
              <w:snapToGrid w:val="0"/>
              <w:spacing w:before="57"/>
              <w:ind w:right="-86"/>
              <w:jc w:val="left"/>
              <w:rPr>
                <w:rFonts w:cs="Times New Roman"/>
                <w:color w:val="auto"/>
              </w:rPr>
            </w:pPr>
          </w:p>
        </w:tc>
      </w:tr>
      <w:tr>
        <w:tblPrEx>
          <w:tblCellMar>
            <w:top w:w="0" w:type="dxa"/>
            <w:left w:w="0" w:type="dxa"/>
            <w:bottom w:w="0" w:type="dxa"/>
            <w:right w:w="0" w:type="dxa"/>
          </w:tblCellMar>
        </w:tblPrEx>
        <w:trPr>
          <w:trHeight w:val="634" w:hRule="atLeast"/>
        </w:trPr>
        <w:tc>
          <w:tcPr>
            <w:tcW w:w="2373"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autoSpaceDE w:val="0"/>
              <w:autoSpaceDN w:val="0"/>
              <w:snapToGrid w:val="0"/>
              <w:spacing w:before="57"/>
              <w:ind w:right="-86"/>
              <w:jc w:val="center"/>
              <w:rPr>
                <w:rFonts w:cs="Times New Roman"/>
                <w:color w:val="auto"/>
              </w:rPr>
            </w:pPr>
            <w:r>
              <w:rPr>
                <w:rFonts w:hint="eastAsia" w:cs="宋体"/>
                <w:color w:val="auto"/>
              </w:rPr>
              <w:t>项目等级</w:t>
            </w:r>
          </w:p>
        </w:tc>
        <w:tc>
          <w:tcPr>
            <w:tcW w:w="6537" w:type="dxa"/>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tcPr>
          <w:p>
            <w:pPr>
              <w:autoSpaceDE w:val="0"/>
              <w:autoSpaceDN w:val="0"/>
              <w:snapToGrid w:val="0"/>
              <w:spacing w:before="57"/>
              <w:ind w:right="-86"/>
              <w:jc w:val="left"/>
              <w:rPr>
                <w:rFonts w:cs="Times New Roman"/>
                <w:color w:val="auto"/>
              </w:rPr>
            </w:pPr>
          </w:p>
        </w:tc>
      </w:tr>
      <w:tr>
        <w:tblPrEx>
          <w:tblCellMar>
            <w:top w:w="0" w:type="dxa"/>
            <w:left w:w="0" w:type="dxa"/>
            <w:bottom w:w="0" w:type="dxa"/>
            <w:right w:w="0" w:type="dxa"/>
          </w:tblCellMar>
        </w:tblPrEx>
        <w:trPr>
          <w:trHeight w:val="634" w:hRule="atLeast"/>
        </w:trPr>
        <w:tc>
          <w:tcPr>
            <w:tcW w:w="2373"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autoSpaceDE w:val="0"/>
              <w:autoSpaceDN w:val="0"/>
              <w:snapToGrid w:val="0"/>
              <w:spacing w:before="57"/>
              <w:ind w:right="-86"/>
              <w:jc w:val="center"/>
              <w:rPr>
                <w:rFonts w:cs="Times New Roman"/>
                <w:color w:val="auto"/>
              </w:rPr>
            </w:pPr>
            <w:r>
              <w:rPr>
                <w:rFonts w:hint="eastAsia" w:cs="宋体"/>
                <w:color w:val="auto"/>
              </w:rPr>
              <w:t>项目总投资</w:t>
            </w:r>
          </w:p>
        </w:tc>
        <w:tc>
          <w:tcPr>
            <w:tcW w:w="6537" w:type="dxa"/>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tcPr>
          <w:p>
            <w:pPr>
              <w:autoSpaceDE w:val="0"/>
              <w:autoSpaceDN w:val="0"/>
              <w:snapToGrid w:val="0"/>
              <w:spacing w:before="57"/>
              <w:ind w:right="-86"/>
              <w:jc w:val="left"/>
              <w:rPr>
                <w:rFonts w:cs="Times New Roman"/>
                <w:color w:val="auto"/>
              </w:rPr>
            </w:pPr>
          </w:p>
        </w:tc>
      </w:tr>
      <w:tr>
        <w:tblPrEx>
          <w:tblCellMar>
            <w:top w:w="0" w:type="dxa"/>
            <w:left w:w="0" w:type="dxa"/>
            <w:bottom w:w="0" w:type="dxa"/>
            <w:right w:w="0" w:type="dxa"/>
          </w:tblCellMar>
        </w:tblPrEx>
        <w:trPr>
          <w:trHeight w:val="634" w:hRule="atLeast"/>
        </w:trPr>
        <w:tc>
          <w:tcPr>
            <w:tcW w:w="2373"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autoSpaceDE w:val="0"/>
              <w:autoSpaceDN w:val="0"/>
              <w:snapToGrid w:val="0"/>
              <w:spacing w:before="57"/>
              <w:ind w:right="-86"/>
              <w:jc w:val="center"/>
              <w:rPr>
                <w:rFonts w:cs="Times New Roman"/>
                <w:color w:val="auto"/>
              </w:rPr>
            </w:pPr>
            <w:r>
              <w:rPr>
                <w:rFonts w:hint="eastAsia" w:cs="宋体"/>
                <w:color w:val="auto"/>
              </w:rPr>
              <w:t>合同价格</w:t>
            </w:r>
          </w:p>
        </w:tc>
        <w:tc>
          <w:tcPr>
            <w:tcW w:w="6537" w:type="dxa"/>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tcPr>
          <w:p>
            <w:pPr>
              <w:autoSpaceDE w:val="0"/>
              <w:autoSpaceDN w:val="0"/>
              <w:snapToGrid w:val="0"/>
              <w:spacing w:before="57"/>
              <w:ind w:right="-86"/>
              <w:jc w:val="left"/>
              <w:rPr>
                <w:rFonts w:cs="Times New Roman"/>
                <w:color w:val="auto"/>
              </w:rPr>
            </w:pPr>
          </w:p>
        </w:tc>
      </w:tr>
      <w:tr>
        <w:tblPrEx>
          <w:tblCellMar>
            <w:top w:w="0" w:type="dxa"/>
            <w:left w:w="0" w:type="dxa"/>
            <w:bottom w:w="0" w:type="dxa"/>
            <w:right w:w="0" w:type="dxa"/>
          </w:tblCellMar>
        </w:tblPrEx>
        <w:trPr>
          <w:trHeight w:val="634" w:hRule="atLeast"/>
        </w:trPr>
        <w:tc>
          <w:tcPr>
            <w:tcW w:w="2373"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autoSpaceDE w:val="0"/>
              <w:autoSpaceDN w:val="0"/>
              <w:snapToGrid w:val="0"/>
              <w:spacing w:before="57"/>
              <w:ind w:right="-86"/>
              <w:jc w:val="center"/>
              <w:rPr>
                <w:rFonts w:cs="Times New Roman"/>
                <w:color w:val="auto"/>
              </w:rPr>
            </w:pPr>
            <w:r>
              <w:rPr>
                <w:rFonts w:hint="eastAsia" w:cs="宋体"/>
                <w:color w:val="auto"/>
              </w:rPr>
              <w:t>承担的勘察工作</w:t>
            </w:r>
          </w:p>
        </w:tc>
        <w:tc>
          <w:tcPr>
            <w:tcW w:w="6537" w:type="dxa"/>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tcPr>
          <w:p>
            <w:pPr>
              <w:autoSpaceDE w:val="0"/>
              <w:autoSpaceDN w:val="0"/>
              <w:snapToGrid w:val="0"/>
              <w:spacing w:before="57"/>
              <w:ind w:right="-86"/>
              <w:jc w:val="left"/>
              <w:rPr>
                <w:rFonts w:cs="Times New Roman"/>
                <w:color w:val="auto"/>
              </w:rPr>
            </w:pPr>
          </w:p>
        </w:tc>
      </w:tr>
      <w:tr>
        <w:tblPrEx>
          <w:tblCellMar>
            <w:top w:w="0" w:type="dxa"/>
            <w:left w:w="0" w:type="dxa"/>
            <w:bottom w:w="0" w:type="dxa"/>
            <w:right w:w="0" w:type="dxa"/>
          </w:tblCellMar>
        </w:tblPrEx>
        <w:trPr>
          <w:trHeight w:val="634" w:hRule="atLeast"/>
        </w:trPr>
        <w:tc>
          <w:tcPr>
            <w:tcW w:w="2373"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autoSpaceDE w:val="0"/>
              <w:autoSpaceDN w:val="0"/>
              <w:snapToGrid w:val="0"/>
              <w:spacing w:before="57"/>
              <w:ind w:right="-86"/>
              <w:jc w:val="center"/>
              <w:rPr>
                <w:rFonts w:cs="Times New Roman"/>
                <w:color w:val="auto"/>
              </w:rPr>
            </w:pPr>
            <w:r>
              <w:rPr>
                <w:rFonts w:hint="eastAsia" w:cs="宋体"/>
                <w:color w:val="auto"/>
              </w:rPr>
              <w:t>勘察服务期限</w:t>
            </w:r>
          </w:p>
        </w:tc>
        <w:tc>
          <w:tcPr>
            <w:tcW w:w="6537" w:type="dxa"/>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tcPr>
          <w:p>
            <w:pPr>
              <w:autoSpaceDE w:val="0"/>
              <w:autoSpaceDN w:val="0"/>
              <w:snapToGrid w:val="0"/>
              <w:spacing w:before="57"/>
              <w:ind w:right="-86"/>
              <w:jc w:val="left"/>
              <w:rPr>
                <w:rFonts w:cs="Times New Roman"/>
                <w:color w:val="auto"/>
              </w:rPr>
            </w:pPr>
          </w:p>
        </w:tc>
      </w:tr>
      <w:tr>
        <w:tblPrEx>
          <w:tblCellMar>
            <w:top w:w="0" w:type="dxa"/>
            <w:left w:w="0" w:type="dxa"/>
            <w:bottom w:w="0" w:type="dxa"/>
            <w:right w:w="0" w:type="dxa"/>
          </w:tblCellMar>
        </w:tblPrEx>
        <w:trPr>
          <w:trHeight w:val="634" w:hRule="atLeast"/>
        </w:trPr>
        <w:tc>
          <w:tcPr>
            <w:tcW w:w="2373"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autoSpaceDE w:val="0"/>
              <w:autoSpaceDN w:val="0"/>
              <w:snapToGrid w:val="0"/>
              <w:spacing w:before="57"/>
              <w:ind w:right="-86"/>
              <w:jc w:val="center"/>
              <w:rPr>
                <w:rFonts w:cs="Times New Roman"/>
                <w:color w:val="auto"/>
              </w:rPr>
            </w:pPr>
            <w:r>
              <w:rPr>
                <w:rFonts w:hint="eastAsia" w:cs="宋体"/>
                <w:color w:val="auto"/>
              </w:rPr>
              <w:t>项目负责人</w:t>
            </w:r>
          </w:p>
        </w:tc>
        <w:tc>
          <w:tcPr>
            <w:tcW w:w="6537" w:type="dxa"/>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tcPr>
          <w:p>
            <w:pPr>
              <w:autoSpaceDE w:val="0"/>
              <w:autoSpaceDN w:val="0"/>
              <w:snapToGrid w:val="0"/>
              <w:spacing w:before="57"/>
              <w:ind w:right="-86"/>
              <w:jc w:val="left"/>
              <w:rPr>
                <w:rFonts w:cs="Times New Roman"/>
                <w:color w:val="auto"/>
              </w:rPr>
            </w:pPr>
          </w:p>
        </w:tc>
      </w:tr>
      <w:tr>
        <w:tblPrEx>
          <w:tblCellMar>
            <w:top w:w="0" w:type="dxa"/>
            <w:left w:w="0" w:type="dxa"/>
            <w:bottom w:w="0" w:type="dxa"/>
            <w:right w:w="0" w:type="dxa"/>
          </w:tblCellMar>
        </w:tblPrEx>
        <w:trPr>
          <w:trHeight w:val="634" w:hRule="atLeast"/>
        </w:trPr>
        <w:tc>
          <w:tcPr>
            <w:tcW w:w="2373"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autoSpaceDE w:val="0"/>
              <w:autoSpaceDN w:val="0"/>
              <w:snapToGrid w:val="0"/>
              <w:spacing w:before="57"/>
              <w:ind w:right="-86"/>
              <w:jc w:val="center"/>
              <w:rPr>
                <w:rFonts w:cs="Times New Roman"/>
                <w:color w:val="auto"/>
              </w:rPr>
            </w:pPr>
            <w:r>
              <w:rPr>
                <w:rFonts w:hint="eastAsia" w:cs="宋体"/>
                <w:color w:val="auto"/>
              </w:rPr>
              <w:t>项目完成情况</w:t>
            </w:r>
          </w:p>
        </w:tc>
        <w:tc>
          <w:tcPr>
            <w:tcW w:w="6537" w:type="dxa"/>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tcPr>
          <w:p>
            <w:pPr>
              <w:autoSpaceDE w:val="0"/>
              <w:autoSpaceDN w:val="0"/>
              <w:snapToGrid w:val="0"/>
              <w:spacing w:before="57"/>
              <w:ind w:right="-86"/>
              <w:jc w:val="left"/>
              <w:rPr>
                <w:rFonts w:cs="Times New Roman"/>
                <w:color w:val="auto"/>
              </w:rPr>
            </w:pPr>
          </w:p>
        </w:tc>
      </w:tr>
      <w:tr>
        <w:tblPrEx>
          <w:tblCellMar>
            <w:top w:w="0" w:type="dxa"/>
            <w:left w:w="0" w:type="dxa"/>
            <w:bottom w:w="0" w:type="dxa"/>
            <w:right w:w="0" w:type="dxa"/>
          </w:tblCellMar>
        </w:tblPrEx>
        <w:trPr>
          <w:trHeight w:val="1046" w:hRule="atLeast"/>
        </w:trPr>
        <w:tc>
          <w:tcPr>
            <w:tcW w:w="2373"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autoSpaceDE w:val="0"/>
              <w:autoSpaceDN w:val="0"/>
              <w:snapToGrid w:val="0"/>
              <w:spacing w:before="57"/>
              <w:ind w:right="-86"/>
              <w:jc w:val="center"/>
              <w:rPr>
                <w:rFonts w:cs="Times New Roman"/>
                <w:color w:val="auto"/>
              </w:rPr>
            </w:pPr>
            <w:r>
              <w:rPr>
                <w:rFonts w:hint="eastAsia" w:cs="宋体"/>
                <w:color w:val="auto"/>
              </w:rPr>
              <w:t>项目描述</w:t>
            </w:r>
          </w:p>
        </w:tc>
        <w:tc>
          <w:tcPr>
            <w:tcW w:w="6537" w:type="dxa"/>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tcPr>
          <w:p>
            <w:pPr>
              <w:autoSpaceDE w:val="0"/>
              <w:autoSpaceDN w:val="0"/>
              <w:snapToGrid w:val="0"/>
              <w:spacing w:before="57"/>
              <w:ind w:right="-86"/>
              <w:jc w:val="left"/>
              <w:rPr>
                <w:rFonts w:cs="Times New Roman"/>
                <w:color w:val="auto"/>
              </w:rPr>
            </w:pPr>
          </w:p>
        </w:tc>
      </w:tr>
      <w:tr>
        <w:tblPrEx>
          <w:tblCellMar>
            <w:top w:w="0" w:type="dxa"/>
            <w:left w:w="0" w:type="dxa"/>
            <w:bottom w:w="0" w:type="dxa"/>
            <w:right w:w="0" w:type="dxa"/>
          </w:tblCellMar>
        </w:tblPrEx>
        <w:trPr>
          <w:trHeight w:val="821" w:hRule="atLeast"/>
        </w:trPr>
        <w:tc>
          <w:tcPr>
            <w:tcW w:w="2373" w:type="dxa"/>
            <w:tcBorders>
              <w:top w:val="single" w:color="000000" w:sz="4" w:space="0"/>
              <w:left w:val="single" w:color="000000" w:sz="4" w:space="0"/>
              <w:bottom w:val="single" w:color="000000" w:sz="4" w:space="0"/>
              <w:right w:val="nil"/>
            </w:tcBorders>
            <w:shd w:val="clear" w:color="auto" w:fill="FFFFFF"/>
            <w:tcMar>
              <w:top w:w="0" w:type="dxa"/>
              <w:left w:w="31" w:type="dxa"/>
              <w:bottom w:w="0" w:type="dxa"/>
              <w:right w:w="0" w:type="dxa"/>
            </w:tcMar>
            <w:vAlign w:val="center"/>
          </w:tcPr>
          <w:p>
            <w:pPr>
              <w:autoSpaceDE w:val="0"/>
              <w:autoSpaceDN w:val="0"/>
              <w:snapToGrid w:val="0"/>
              <w:spacing w:before="57"/>
              <w:ind w:right="-86"/>
              <w:jc w:val="center"/>
              <w:rPr>
                <w:rFonts w:cs="Times New Roman"/>
                <w:color w:val="auto"/>
              </w:rPr>
            </w:pPr>
            <w:r>
              <w:rPr>
                <w:rFonts w:hint="eastAsia" w:cs="宋体"/>
                <w:color w:val="auto"/>
              </w:rPr>
              <w:t>备注</w:t>
            </w:r>
          </w:p>
        </w:tc>
        <w:tc>
          <w:tcPr>
            <w:tcW w:w="6537" w:type="dxa"/>
            <w:tcBorders>
              <w:top w:val="single" w:color="000000" w:sz="4" w:space="0"/>
              <w:left w:val="single" w:color="000000" w:sz="4" w:space="0"/>
              <w:bottom w:val="single" w:color="000000" w:sz="4" w:space="0"/>
              <w:right w:val="single" w:color="000000" w:sz="4" w:space="0"/>
            </w:tcBorders>
            <w:shd w:val="clear" w:color="auto" w:fill="FFFFFF"/>
            <w:tcMar>
              <w:top w:w="0" w:type="dxa"/>
              <w:left w:w="31" w:type="dxa"/>
              <w:bottom w:w="0" w:type="dxa"/>
              <w:right w:w="0" w:type="dxa"/>
            </w:tcMar>
          </w:tcPr>
          <w:p>
            <w:pPr>
              <w:autoSpaceDE w:val="0"/>
              <w:autoSpaceDN w:val="0"/>
              <w:snapToGrid w:val="0"/>
              <w:spacing w:before="57"/>
              <w:ind w:right="-86"/>
              <w:jc w:val="left"/>
              <w:rPr>
                <w:rFonts w:cs="Times New Roman"/>
                <w:color w:val="auto"/>
              </w:rPr>
            </w:pPr>
          </w:p>
        </w:tc>
      </w:tr>
    </w:tbl>
    <w:p>
      <w:pPr>
        <w:autoSpaceDE w:val="0"/>
        <w:autoSpaceDN w:val="0"/>
        <w:snapToGrid w:val="0"/>
        <w:spacing w:before="57" w:line="273" w:lineRule="auto"/>
        <w:ind w:right="-86"/>
        <w:jc w:val="left"/>
        <w:rPr>
          <w:rFonts w:ascii="Times New Roman" w:hAnsi="Times New Roman" w:cs="Times New Roman"/>
          <w:color w:val="auto"/>
        </w:rPr>
      </w:pPr>
      <w:r>
        <w:rPr>
          <w:rFonts w:hint="eastAsia" w:cs="宋体"/>
          <w:color w:val="auto"/>
        </w:rPr>
        <w:t>注：</w:t>
      </w:r>
      <w:r>
        <w:rPr>
          <w:color w:val="auto"/>
        </w:rPr>
        <w:t>1.</w:t>
      </w:r>
      <w:r>
        <w:rPr>
          <w:rFonts w:hint="eastAsia" w:cs="宋体"/>
          <w:color w:val="auto"/>
        </w:rPr>
        <w:t>每张表格只填写一个项目，并标明序号。</w:t>
      </w:r>
    </w:p>
    <w:p>
      <w:pPr>
        <w:autoSpaceDE w:val="0"/>
        <w:autoSpaceDN w:val="0"/>
        <w:snapToGrid w:val="0"/>
        <w:spacing w:before="57" w:line="273" w:lineRule="auto"/>
        <w:ind w:firstLine="420" w:firstLineChars="200"/>
        <w:jc w:val="left"/>
        <w:rPr>
          <w:rFonts w:cs="Times New Roman"/>
          <w:color w:val="auto"/>
        </w:rPr>
      </w:pPr>
      <w:r>
        <w:rPr>
          <w:color w:val="auto"/>
        </w:rPr>
        <w:t>2.</w:t>
      </w:r>
      <w:r>
        <w:rPr>
          <w:rFonts w:hint="eastAsia" w:cs="宋体"/>
          <w:color w:val="auto"/>
        </w:rPr>
        <w:t>项目完成情况：根据先后顺序分为“初步设计己批复”、“施工图设计已审批”等不同阶段，投标人应根据项目实际完成情况进行填报。</w:t>
      </w:r>
    </w:p>
    <w:p>
      <w:pPr>
        <w:autoSpaceDE w:val="0"/>
        <w:autoSpaceDN w:val="0"/>
        <w:snapToGrid w:val="0"/>
        <w:spacing w:before="57" w:line="273" w:lineRule="auto"/>
        <w:ind w:firstLine="420" w:firstLineChars="200"/>
        <w:jc w:val="left"/>
        <w:rPr>
          <w:rFonts w:cs="Times New Roman"/>
          <w:color w:val="auto"/>
        </w:rPr>
      </w:pPr>
      <w:r>
        <w:rPr>
          <w:color w:val="auto"/>
        </w:rPr>
        <w:t>3.</w:t>
      </w:r>
      <w:r>
        <w:rPr>
          <w:rFonts w:hint="eastAsia" w:cs="宋体"/>
          <w:color w:val="auto"/>
        </w:rPr>
        <w:t>投标人应根据招标文件第二章“投标人须知”第</w:t>
      </w:r>
      <w:r>
        <w:rPr>
          <w:color w:val="auto"/>
        </w:rPr>
        <w:t>3.5.2</w:t>
      </w:r>
      <w:r>
        <w:rPr>
          <w:rFonts w:hint="eastAsia" w:cs="宋体"/>
          <w:color w:val="auto"/>
        </w:rPr>
        <w:t>项的要求在本表后附相关证明材料。</w:t>
      </w:r>
    </w:p>
    <w:p>
      <w:pPr>
        <w:autoSpaceDE w:val="0"/>
        <w:autoSpaceDN w:val="0"/>
        <w:snapToGrid w:val="0"/>
        <w:spacing w:before="57" w:line="273" w:lineRule="auto"/>
        <w:ind w:firstLine="420" w:firstLineChars="200"/>
        <w:jc w:val="left"/>
        <w:rPr>
          <w:rFonts w:cs="Times New Roman"/>
          <w:color w:val="auto"/>
        </w:rPr>
      </w:pPr>
      <w:r>
        <w:rPr>
          <w:color w:val="auto"/>
        </w:rPr>
        <w:t>4.</w:t>
      </w:r>
      <w:r>
        <w:rPr>
          <w:rFonts w:hint="eastAsia" w:cs="宋体"/>
          <w:color w:val="auto"/>
        </w:rPr>
        <w:t>如近年来，投标人法人机构发生合法变更或重组或法人名称变更时，应提供相关部门的合法批件或其他相关证明材料来证明其所附业绩的继承性。</w:t>
      </w:r>
    </w:p>
    <w:p>
      <w:pPr>
        <w:tabs>
          <w:tab w:val="left" w:pos="2400"/>
        </w:tabs>
        <w:autoSpaceDE w:val="0"/>
        <w:autoSpaceDN w:val="0"/>
        <w:snapToGrid w:val="0"/>
        <w:spacing w:before="57" w:line="276" w:lineRule="auto"/>
        <w:ind w:firstLine="420" w:firstLineChars="200"/>
        <w:jc w:val="left"/>
        <w:rPr>
          <w:rFonts w:hAnsi="Times New Roman"/>
          <w:color w:val="auto"/>
          <w:spacing w:val="2"/>
        </w:rPr>
      </w:pPr>
      <w:r>
        <w:rPr>
          <w:rFonts w:hAnsi="Times New Roman"/>
          <w:color w:val="auto"/>
        </w:rPr>
        <w:t>5.</w:t>
      </w:r>
      <w:r>
        <w:rPr>
          <w:rFonts w:hint="eastAsia" w:hAnsi="Times New Roman" w:cs="宋体"/>
          <w:color w:val="auto"/>
        </w:rPr>
        <w:t>以联合体形式参与投标的，联合体各成员应分别填写。</w:t>
      </w:r>
    </w:p>
    <w:p>
      <w:pPr>
        <w:autoSpaceDE w:val="0"/>
        <w:autoSpaceDN w:val="0"/>
        <w:snapToGrid w:val="0"/>
        <w:spacing w:before="43"/>
        <w:ind w:left="13" w:right="-86" w:firstLine="428"/>
        <w:rPr>
          <w:rFonts w:cs="Times New Roman"/>
          <w:color w:val="auto"/>
          <w:spacing w:val="2"/>
        </w:rPr>
      </w:pPr>
    </w:p>
    <w:p>
      <w:pPr>
        <w:autoSpaceDE w:val="0"/>
        <w:autoSpaceDN w:val="0"/>
        <w:snapToGrid w:val="0"/>
        <w:spacing w:before="43"/>
        <w:ind w:left="687" w:hanging="630"/>
        <w:jc w:val="center"/>
        <w:rPr>
          <w:rFonts w:ascii="黑体" w:eastAsia="黑体" w:cs="Times New Roman"/>
          <w:b/>
          <w:bCs/>
          <w:color w:val="auto"/>
          <w:sz w:val="24"/>
          <w:szCs w:val="24"/>
        </w:rPr>
      </w:pPr>
      <w:r>
        <w:rPr>
          <w:rFonts w:hint="eastAsia" w:ascii="黑体" w:hAnsi="黑体" w:eastAsia="黑体" w:cs="黑体"/>
          <w:b/>
          <w:bCs/>
          <w:color w:val="auto"/>
          <w:sz w:val="28"/>
          <w:szCs w:val="28"/>
        </w:rPr>
        <w:t>（四）投标人的信誉情况表</w:t>
      </w:r>
    </w:p>
    <w:p>
      <w:pPr>
        <w:autoSpaceDE w:val="0"/>
        <w:autoSpaceDN w:val="0"/>
        <w:snapToGrid w:val="0"/>
        <w:spacing w:line="200" w:lineRule="exact"/>
        <w:jc w:val="left"/>
        <w:rPr>
          <w:rFonts w:ascii="黑体" w:eastAsia="黑体" w:cs="黑体"/>
          <w:b/>
          <w:bCs/>
          <w:color w:val="auto"/>
          <w:sz w:val="20"/>
          <w:szCs w:val="20"/>
        </w:rPr>
      </w:pPr>
    </w:p>
    <w:tbl>
      <w:tblPr>
        <w:tblStyle w:val="20"/>
        <w:tblW w:w="8535" w:type="dxa"/>
        <w:tblInd w:w="2" w:type="dxa"/>
        <w:tblLayout w:type="fixed"/>
        <w:tblCellMar>
          <w:top w:w="0" w:type="dxa"/>
          <w:left w:w="0" w:type="dxa"/>
          <w:bottom w:w="0" w:type="dxa"/>
          <w:right w:w="0" w:type="dxa"/>
        </w:tblCellMar>
      </w:tblPr>
      <w:tblGrid>
        <w:gridCol w:w="4263"/>
        <w:gridCol w:w="4272"/>
      </w:tblGrid>
      <w:tr>
        <w:tblPrEx>
          <w:tblCellMar>
            <w:top w:w="0" w:type="dxa"/>
            <w:left w:w="0" w:type="dxa"/>
            <w:bottom w:w="0" w:type="dxa"/>
            <w:right w:w="0" w:type="dxa"/>
          </w:tblCellMar>
        </w:tblPrEx>
        <w:trPr>
          <w:trHeight w:val="883" w:hRule="atLeast"/>
        </w:trPr>
        <w:tc>
          <w:tcPr>
            <w:tcW w:w="4263"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autoSpaceDE w:val="0"/>
              <w:autoSpaceDN w:val="0"/>
              <w:snapToGrid w:val="0"/>
              <w:spacing w:before="12" w:line="240" w:lineRule="exact"/>
              <w:jc w:val="center"/>
              <w:rPr>
                <w:rFonts w:cs="Times New Roman"/>
                <w:color w:val="auto"/>
              </w:rPr>
            </w:pPr>
            <w:r>
              <w:rPr>
                <w:rFonts w:hint="eastAsia" w:cs="宋体"/>
                <w:color w:val="auto"/>
              </w:rPr>
              <w:t>项目</w:t>
            </w:r>
          </w:p>
        </w:tc>
        <w:tc>
          <w:tcPr>
            <w:tcW w:w="4272" w:type="dxa"/>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vAlign w:val="center"/>
          </w:tcPr>
          <w:p>
            <w:pPr>
              <w:autoSpaceDE w:val="0"/>
              <w:autoSpaceDN w:val="0"/>
              <w:snapToGrid w:val="0"/>
              <w:spacing w:before="12" w:line="240" w:lineRule="exact"/>
              <w:jc w:val="center"/>
              <w:rPr>
                <w:rFonts w:cs="Times New Roman"/>
                <w:color w:val="auto"/>
              </w:rPr>
            </w:pPr>
            <w:r>
              <w:rPr>
                <w:rFonts w:hint="eastAsia" w:cs="宋体"/>
                <w:color w:val="auto"/>
              </w:rPr>
              <w:t>投标人情况说明</w:t>
            </w:r>
          </w:p>
        </w:tc>
      </w:tr>
      <w:tr>
        <w:tblPrEx>
          <w:tblCellMar>
            <w:top w:w="0" w:type="dxa"/>
            <w:left w:w="0" w:type="dxa"/>
            <w:bottom w:w="0" w:type="dxa"/>
            <w:right w:w="0" w:type="dxa"/>
          </w:tblCellMar>
        </w:tblPrEx>
        <w:trPr>
          <w:trHeight w:val="1771" w:hRule="atLeast"/>
        </w:trPr>
        <w:tc>
          <w:tcPr>
            <w:tcW w:w="4263"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tcPr>
          <w:p>
            <w:pPr>
              <w:autoSpaceDE w:val="0"/>
              <w:autoSpaceDN w:val="0"/>
              <w:snapToGrid w:val="0"/>
              <w:spacing w:before="12" w:line="240" w:lineRule="exact"/>
              <w:jc w:val="left"/>
              <w:rPr>
                <w:rFonts w:ascii="黑体" w:eastAsia="黑体" w:cs="Times New Roman"/>
                <w:color w:val="auto"/>
                <w:sz w:val="24"/>
                <w:szCs w:val="24"/>
              </w:rPr>
            </w:pPr>
          </w:p>
        </w:tc>
        <w:tc>
          <w:tcPr>
            <w:tcW w:w="4272" w:type="dxa"/>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tcPr>
          <w:p>
            <w:pPr>
              <w:autoSpaceDE w:val="0"/>
              <w:autoSpaceDN w:val="0"/>
              <w:snapToGrid w:val="0"/>
              <w:spacing w:before="12" w:line="240" w:lineRule="exact"/>
              <w:jc w:val="left"/>
              <w:rPr>
                <w:rFonts w:ascii="黑体" w:eastAsia="黑体" w:cs="Times New Roman"/>
                <w:color w:val="auto"/>
                <w:sz w:val="24"/>
                <w:szCs w:val="24"/>
              </w:rPr>
            </w:pPr>
          </w:p>
        </w:tc>
      </w:tr>
      <w:tr>
        <w:tblPrEx>
          <w:tblCellMar>
            <w:top w:w="0" w:type="dxa"/>
            <w:left w:w="0" w:type="dxa"/>
            <w:bottom w:w="0" w:type="dxa"/>
            <w:right w:w="0" w:type="dxa"/>
          </w:tblCellMar>
        </w:tblPrEx>
        <w:trPr>
          <w:trHeight w:val="1771" w:hRule="atLeast"/>
        </w:trPr>
        <w:tc>
          <w:tcPr>
            <w:tcW w:w="4263"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tcPr>
          <w:p>
            <w:pPr>
              <w:autoSpaceDE w:val="0"/>
              <w:autoSpaceDN w:val="0"/>
              <w:snapToGrid w:val="0"/>
              <w:spacing w:before="12" w:line="240" w:lineRule="exact"/>
              <w:jc w:val="left"/>
              <w:rPr>
                <w:rFonts w:ascii="黑体" w:eastAsia="黑体" w:cs="Times New Roman"/>
                <w:color w:val="auto"/>
                <w:sz w:val="24"/>
                <w:szCs w:val="24"/>
              </w:rPr>
            </w:pPr>
          </w:p>
        </w:tc>
        <w:tc>
          <w:tcPr>
            <w:tcW w:w="4272" w:type="dxa"/>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tcPr>
          <w:p>
            <w:pPr>
              <w:autoSpaceDE w:val="0"/>
              <w:autoSpaceDN w:val="0"/>
              <w:snapToGrid w:val="0"/>
              <w:spacing w:before="12" w:line="240" w:lineRule="exact"/>
              <w:jc w:val="left"/>
              <w:rPr>
                <w:rFonts w:ascii="黑体" w:eastAsia="黑体" w:cs="Times New Roman"/>
                <w:color w:val="auto"/>
                <w:sz w:val="24"/>
                <w:szCs w:val="24"/>
              </w:rPr>
            </w:pPr>
          </w:p>
        </w:tc>
      </w:tr>
      <w:tr>
        <w:tblPrEx>
          <w:tblCellMar>
            <w:top w:w="0" w:type="dxa"/>
            <w:left w:w="0" w:type="dxa"/>
            <w:bottom w:w="0" w:type="dxa"/>
            <w:right w:w="0" w:type="dxa"/>
          </w:tblCellMar>
        </w:tblPrEx>
        <w:trPr>
          <w:trHeight w:val="1771" w:hRule="atLeast"/>
        </w:trPr>
        <w:tc>
          <w:tcPr>
            <w:tcW w:w="4263"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tcPr>
          <w:p>
            <w:pPr>
              <w:autoSpaceDE w:val="0"/>
              <w:autoSpaceDN w:val="0"/>
              <w:snapToGrid w:val="0"/>
              <w:spacing w:before="12" w:line="240" w:lineRule="exact"/>
              <w:jc w:val="left"/>
              <w:rPr>
                <w:rFonts w:ascii="黑体" w:eastAsia="黑体" w:cs="Times New Roman"/>
                <w:color w:val="auto"/>
                <w:sz w:val="24"/>
                <w:szCs w:val="24"/>
              </w:rPr>
            </w:pPr>
          </w:p>
        </w:tc>
        <w:tc>
          <w:tcPr>
            <w:tcW w:w="4272" w:type="dxa"/>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tcPr>
          <w:p>
            <w:pPr>
              <w:autoSpaceDE w:val="0"/>
              <w:autoSpaceDN w:val="0"/>
              <w:snapToGrid w:val="0"/>
              <w:spacing w:before="12" w:line="240" w:lineRule="exact"/>
              <w:jc w:val="left"/>
              <w:rPr>
                <w:rFonts w:ascii="黑体" w:eastAsia="黑体" w:cs="Times New Roman"/>
                <w:color w:val="auto"/>
                <w:sz w:val="24"/>
                <w:szCs w:val="24"/>
              </w:rPr>
            </w:pPr>
          </w:p>
        </w:tc>
      </w:tr>
      <w:tr>
        <w:tblPrEx>
          <w:tblCellMar>
            <w:top w:w="0" w:type="dxa"/>
            <w:left w:w="0" w:type="dxa"/>
            <w:bottom w:w="0" w:type="dxa"/>
            <w:right w:w="0" w:type="dxa"/>
          </w:tblCellMar>
        </w:tblPrEx>
        <w:trPr>
          <w:trHeight w:val="1766" w:hRule="atLeast"/>
        </w:trPr>
        <w:tc>
          <w:tcPr>
            <w:tcW w:w="4263"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tcPr>
          <w:p>
            <w:pPr>
              <w:autoSpaceDE w:val="0"/>
              <w:autoSpaceDN w:val="0"/>
              <w:snapToGrid w:val="0"/>
              <w:spacing w:before="12" w:line="240" w:lineRule="exact"/>
              <w:jc w:val="left"/>
              <w:rPr>
                <w:rFonts w:ascii="黑体" w:eastAsia="黑体" w:cs="Times New Roman"/>
                <w:color w:val="auto"/>
                <w:sz w:val="24"/>
                <w:szCs w:val="24"/>
              </w:rPr>
            </w:pPr>
          </w:p>
        </w:tc>
        <w:tc>
          <w:tcPr>
            <w:tcW w:w="4272" w:type="dxa"/>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tcPr>
          <w:p>
            <w:pPr>
              <w:autoSpaceDE w:val="0"/>
              <w:autoSpaceDN w:val="0"/>
              <w:snapToGrid w:val="0"/>
              <w:spacing w:before="12" w:line="240" w:lineRule="exact"/>
              <w:jc w:val="left"/>
              <w:rPr>
                <w:rFonts w:ascii="黑体" w:eastAsia="黑体" w:cs="Times New Roman"/>
                <w:color w:val="auto"/>
                <w:sz w:val="24"/>
                <w:szCs w:val="24"/>
              </w:rPr>
            </w:pPr>
          </w:p>
        </w:tc>
      </w:tr>
      <w:tr>
        <w:tblPrEx>
          <w:tblCellMar>
            <w:top w:w="0" w:type="dxa"/>
            <w:left w:w="0" w:type="dxa"/>
            <w:bottom w:w="0" w:type="dxa"/>
            <w:right w:w="0" w:type="dxa"/>
          </w:tblCellMar>
        </w:tblPrEx>
        <w:trPr>
          <w:trHeight w:val="1781" w:hRule="atLeast"/>
        </w:trPr>
        <w:tc>
          <w:tcPr>
            <w:tcW w:w="4263" w:type="dxa"/>
            <w:tcBorders>
              <w:top w:val="single" w:color="000000" w:sz="4" w:space="0"/>
              <w:left w:val="single" w:color="000000" w:sz="4" w:space="0"/>
              <w:bottom w:val="single" w:color="000000" w:sz="4" w:space="0"/>
              <w:right w:val="nil"/>
            </w:tcBorders>
            <w:shd w:val="clear" w:color="auto" w:fill="FFFFFF"/>
            <w:tcMar>
              <w:top w:w="0" w:type="dxa"/>
              <w:left w:w="31" w:type="dxa"/>
              <w:bottom w:w="0" w:type="dxa"/>
              <w:right w:w="0" w:type="dxa"/>
            </w:tcMar>
          </w:tcPr>
          <w:p>
            <w:pPr>
              <w:autoSpaceDE w:val="0"/>
              <w:autoSpaceDN w:val="0"/>
              <w:snapToGrid w:val="0"/>
              <w:spacing w:before="12" w:line="240" w:lineRule="exact"/>
              <w:jc w:val="left"/>
              <w:rPr>
                <w:rFonts w:ascii="黑体" w:eastAsia="黑体" w:cs="Times New Roman"/>
                <w:color w:val="auto"/>
                <w:sz w:val="24"/>
                <w:szCs w:val="24"/>
              </w:rPr>
            </w:pPr>
          </w:p>
        </w:tc>
        <w:tc>
          <w:tcPr>
            <w:tcW w:w="4272" w:type="dxa"/>
            <w:tcBorders>
              <w:top w:val="single" w:color="000000" w:sz="4" w:space="0"/>
              <w:left w:val="single" w:color="000000" w:sz="4" w:space="0"/>
              <w:bottom w:val="single" w:color="000000" w:sz="4" w:space="0"/>
              <w:right w:val="single" w:color="000000" w:sz="4" w:space="0"/>
            </w:tcBorders>
            <w:shd w:val="clear" w:color="auto" w:fill="FFFFFF"/>
            <w:tcMar>
              <w:top w:w="0" w:type="dxa"/>
              <w:left w:w="31" w:type="dxa"/>
              <w:bottom w:w="0" w:type="dxa"/>
              <w:right w:w="0" w:type="dxa"/>
            </w:tcMar>
          </w:tcPr>
          <w:p>
            <w:pPr>
              <w:autoSpaceDE w:val="0"/>
              <w:autoSpaceDN w:val="0"/>
              <w:snapToGrid w:val="0"/>
              <w:spacing w:before="12" w:line="240" w:lineRule="exact"/>
              <w:jc w:val="left"/>
              <w:rPr>
                <w:rFonts w:ascii="黑体" w:eastAsia="黑体" w:cs="Times New Roman"/>
                <w:color w:val="auto"/>
                <w:sz w:val="24"/>
                <w:szCs w:val="24"/>
              </w:rPr>
            </w:pPr>
          </w:p>
        </w:tc>
      </w:tr>
    </w:tbl>
    <w:p>
      <w:pPr>
        <w:autoSpaceDE w:val="0"/>
        <w:autoSpaceDN w:val="0"/>
        <w:snapToGrid w:val="0"/>
        <w:spacing w:before="12" w:line="240" w:lineRule="exact"/>
        <w:jc w:val="left"/>
        <w:rPr>
          <w:rFonts w:ascii="黑体" w:hAnsi="Times New Roman" w:eastAsia="黑体" w:cs="Times New Roman"/>
          <w:color w:val="auto"/>
          <w:sz w:val="24"/>
          <w:szCs w:val="24"/>
        </w:rPr>
      </w:pPr>
    </w:p>
    <w:p>
      <w:pPr>
        <w:autoSpaceDE w:val="0"/>
        <w:autoSpaceDN w:val="0"/>
        <w:snapToGrid w:val="0"/>
        <w:spacing w:before="4" w:line="130" w:lineRule="exact"/>
        <w:jc w:val="left"/>
        <w:rPr>
          <w:rFonts w:ascii="Times New Roman" w:cs="Times New Roman"/>
          <w:color w:val="auto"/>
          <w:sz w:val="13"/>
          <w:szCs w:val="13"/>
        </w:rPr>
      </w:pPr>
    </w:p>
    <w:p>
      <w:pPr>
        <w:autoSpaceDE w:val="0"/>
        <w:autoSpaceDN w:val="0"/>
        <w:snapToGrid w:val="0"/>
        <w:spacing w:line="360" w:lineRule="auto"/>
        <w:ind w:left="708" w:hanging="707"/>
        <w:jc w:val="left"/>
        <w:rPr>
          <w:rFonts w:cs="Times New Roman"/>
          <w:color w:val="auto"/>
          <w:spacing w:val="-2"/>
          <w:position w:val="-1"/>
        </w:rPr>
      </w:pPr>
      <w:r>
        <w:rPr>
          <w:rFonts w:hint="eastAsia" w:cs="宋体"/>
          <w:color w:val="auto"/>
          <w:position w:val="-1"/>
        </w:rPr>
        <w:t>注</w:t>
      </w:r>
      <w:r>
        <w:rPr>
          <w:rFonts w:hint="eastAsia" w:cs="宋体"/>
          <w:color w:val="auto"/>
          <w:spacing w:val="-34"/>
          <w:position w:val="-1"/>
        </w:rPr>
        <w:t>：</w:t>
      </w:r>
      <w:r>
        <w:rPr>
          <w:color w:val="auto"/>
          <w:position w:val="-1"/>
        </w:rPr>
        <w:t>1.</w:t>
      </w:r>
      <w:r>
        <w:rPr>
          <w:rFonts w:hint="eastAsia" w:cs="宋体"/>
          <w:color w:val="auto"/>
          <w:spacing w:val="-2"/>
          <w:position w:val="-1"/>
        </w:rPr>
        <w:t>投标人应按照招标文件第二章“投标人须知”前附表附录</w:t>
      </w:r>
      <w:r>
        <w:rPr>
          <w:color w:val="auto"/>
          <w:spacing w:val="-2"/>
          <w:position w:val="-1"/>
        </w:rPr>
        <w:t>3</w:t>
      </w:r>
      <w:r>
        <w:rPr>
          <w:rFonts w:hint="eastAsia" w:cs="宋体"/>
          <w:color w:val="auto"/>
          <w:spacing w:val="-2"/>
          <w:position w:val="-1"/>
        </w:rPr>
        <w:t>和“投标人须知”正文第</w:t>
      </w:r>
      <w:r>
        <w:rPr>
          <w:color w:val="auto"/>
          <w:spacing w:val="-2"/>
          <w:position w:val="-1"/>
        </w:rPr>
        <w:t>1.4.4</w:t>
      </w:r>
      <w:r>
        <w:rPr>
          <w:rFonts w:hint="eastAsia" w:cs="宋体"/>
          <w:color w:val="auto"/>
          <w:spacing w:val="-2"/>
          <w:position w:val="-1"/>
        </w:rPr>
        <w:t>项规定，逐条说明其信誉情况。</w:t>
      </w:r>
    </w:p>
    <w:p>
      <w:pPr>
        <w:autoSpaceDE w:val="0"/>
        <w:autoSpaceDN w:val="0"/>
        <w:snapToGrid w:val="0"/>
        <w:spacing w:line="360" w:lineRule="auto"/>
        <w:ind w:firstLine="412" w:firstLineChars="200"/>
        <w:jc w:val="left"/>
        <w:rPr>
          <w:rFonts w:cs="Times New Roman"/>
          <w:color w:val="auto"/>
          <w:spacing w:val="-2"/>
          <w:position w:val="-1"/>
        </w:rPr>
      </w:pPr>
      <w:r>
        <w:rPr>
          <w:color w:val="auto"/>
          <w:spacing w:val="-2"/>
          <w:position w:val="-1"/>
        </w:rPr>
        <w:t>2.</w:t>
      </w:r>
      <w:r>
        <w:rPr>
          <w:rFonts w:hint="eastAsia" w:cs="宋体"/>
          <w:color w:val="auto"/>
          <w:spacing w:val="-2"/>
          <w:position w:val="-1"/>
        </w:rPr>
        <w:t>投标人应根据招标文件第二章“投标人须知”第</w:t>
      </w:r>
      <w:r>
        <w:rPr>
          <w:color w:val="auto"/>
          <w:spacing w:val="-2"/>
          <w:position w:val="-1"/>
        </w:rPr>
        <w:t>3.5.3</w:t>
      </w:r>
      <w:r>
        <w:rPr>
          <w:rFonts w:hint="eastAsia" w:cs="宋体"/>
          <w:color w:val="auto"/>
          <w:spacing w:val="-2"/>
          <w:position w:val="-1"/>
        </w:rPr>
        <w:t>项的要求在本表后附相关证明材料。</w:t>
      </w:r>
    </w:p>
    <w:p>
      <w:pPr>
        <w:autoSpaceDE w:val="0"/>
        <w:autoSpaceDN w:val="0"/>
        <w:snapToGrid w:val="0"/>
        <w:spacing w:line="360" w:lineRule="auto"/>
        <w:ind w:firstLine="412" w:firstLineChars="200"/>
        <w:jc w:val="left"/>
        <w:rPr>
          <w:rFonts w:hAnsi="Times New Roman" w:cs="Times New Roman"/>
          <w:color w:val="auto"/>
          <w:spacing w:val="2"/>
        </w:rPr>
      </w:pPr>
      <w:r>
        <w:rPr>
          <w:rFonts w:hAnsi="Times New Roman"/>
          <w:color w:val="auto"/>
          <w:spacing w:val="-2"/>
          <w:position w:val="-1"/>
        </w:rPr>
        <w:t>3.</w:t>
      </w:r>
      <w:r>
        <w:rPr>
          <w:rFonts w:hint="eastAsia" w:hAnsi="Times New Roman" w:cs="宋体"/>
          <w:color w:val="auto"/>
          <w:spacing w:val="-2"/>
          <w:position w:val="-1"/>
        </w:rPr>
        <w:t>以联合体形式参与投标的，联合体各成员应分别填写。</w:t>
      </w:r>
    </w:p>
    <w:p>
      <w:pPr>
        <w:autoSpaceDE w:val="0"/>
        <w:autoSpaceDN w:val="0"/>
        <w:adjustRightInd w:val="0"/>
        <w:spacing w:before="75" w:line="360" w:lineRule="auto"/>
        <w:ind w:left="709" w:right="171" w:hanging="273"/>
        <w:rPr>
          <w:rFonts w:cs="Times New Roman"/>
          <w:color w:val="auto"/>
          <w:spacing w:val="-2"/>
          <w:position w:val="-1"/>
        </w:rPr>
      </w:pPr>
    </w:p>
    <w:p>
      <w:pPr>
        <w:autoSpaceDE w:val="0"/>
        <w:autoSpaceDN w:val="0"/>
        <w:adjustRightInd w:val="0"/>
        <w:spacing w:before="75" w:line="360" w:lineRule="auto"/>
        <w:ind w:left="709" w:right="171" w:hanging="273"/>
        <w:rPr>
          <w:rFonts w:cs="Times New Roman"/>
          <w:color w:val="auto"/>
          <w:kern w:val="0"/>
        </w:rPr>
      </w:pPr>
    </w:p>
    <w:p>
      <w:pPr>
        <w:autoSpaceDE w:val="0"/>
        <w:autoSpaceDN w:val="0"/>
        <w:adjustRightInd w:val="0"/>
        <w:spacing w:before="75" w:line="360" w:lineRule="auto"/>
        <w:ind w:left="709" w:right="171" w:hanging="273"/>
        <w:rPr>
          <w:rFonts w:cs="Times New Roman"/>
          <w:color w:val="auto"/>
          <w:kern w:val="0"/>
        </w:rPr>
      </w:pPr>
    </w:p>
    <w:p>
      <w:pPr>
        <w:autoSpaceDE w:val="0"/>
        <w:autoSpaceDN w:val="0"/>
        <w:adjustRightInd w:val="0"/>
        <w:spacing w:before="75" w:line="360" w:lineRule="auto"/>
        <w:ind w:left="709" w:right="171" w:hanging="273"/>
        <w:rPr>
          <w:rFonts w:cs="Times New Roman"/>
          <w:color w:val="auto"/>
          <w:kern w:val="0"/>
        </w:rPr>
      </w:pPr>
    </w:p>
    <w:p>
      <w:pPr>
        <w:autoSpaceDE w:val="0"/>
        <w:autoSpaceDN w:val="0"/>
        <w:snapToGrid w:val="0"/>
        <w:spacing w:before="43"/>
        <w:ind w:left="-30"/>
        <w:jc w:val="center"/>
        <w:rPr>
          <w:rFonts w:ascii="黑体" w:eastAsia="黑体" w:cs="Times New Roman"/>
          <w:b/>
          <w:bCs/>
          <w:color w:val="auto"/>
          <w:sz w:val="28"/>
          <w:szCs w:val="28"/>
        </w:rPr>
      </w:pPr>
      <w:r>
        <w:rPr>
          <w:rFonts w:hint="eastAsia" w:ascii="黑体" w:hAnsi="黑体" w:eastAsia="黑体" w:cs="黑体"/>
          <w:b/>
          <w:bCs/>
          <w:color w:val="auto"/>
          <w:sz w:val="28"/>
          <w:szCs w:val="28"/>
        </w:rPr>
        <w:t>（五）拟委任的项目负责人资历表</w:t>
      </w:r>
    </w:p>
    <w:p>
      <w:pPr>
        <w:autoSpaceDE w:val="0"/>
        <w:autoSpaceDN w:val="0"/>
        <w:snapToGrid w:val="0"/>
        <w:spacing w:before="7" w:line="190" w:lineRule="exact"/>
        <w:jc w:val="left"/>
        <w:rPr>
          <w:rFonts w:ascii="黑体" w:eastAsia="黑体" w:cs="黑体"/>
          <w:color w:val="auto"/>
          <w:sz w:val="19"/>
          <w:szCs w:val="19"/>
        </w:rPr>
      </w:pPr>
    </w:p>
    <w:tbl>
      <w:tblPr>
        <w:tblStyle w:val="20"/>
        <w:tblW w:w="8640" w:type="dxa"/>
        <w:tblInd w:w="2" w:type="dxa"/>
        <w:tblLayout w:type="fixed"/>
        <w:tblCellMar>
          <w:top w:w="0" w:type="dxa"/>
          <w:left w:w="0" w:type="dxa"/>
          <w:bottom w:w="0" w:type="dxa"/>
          <w:right w:w="0" w:type="dxa"/>
        </w:tblCellMar>
      </w:tblPr>
      <w:tblGrid>
        <w:gridCol w:w="1253"/>
        <w:gridCol w:w="1402"/>
        <w:gridCol w:w="1105"/>
        <w:gridCol w:w="1364"/>
        <w:gridCol w:w="329"/>
        <w:gridCol w:w="1525"/>
        <w:gridCol w:w="382"/>
        <w:gridCol w:w="1280"/>
      </w:tblGrid>
      <w:tr>
        <w:tblPrEx>
          <w:tblCellMar>
            <w:top w:w="0" w:type="dxa"/>
            <w:left w:w="0" w:type="dxa"/>
            <w:bottom w:w="0" w:type="dxa"/>
            <w:right w:w="0" w:type="dxa"/>
          </w:tblCellMar>
        </w:tblPrEx>
        <w:trPr>
          <w:trHeight w:val="936" w:hRule="atLeast"/>
        </w:trPr>
        <w:tc>
          <w:tcPr>
            <w:tcW w:w="1253"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autoSpaceDE w:val="0"/>
              <w:autoSpaceDN w:val="0"/>
              <w:snapToGrid w:val="0"/>
              <w:jc w:val="center"/>
              <w:rPr>
                <w:rFonts w:cs="Times New Roman"/>
                <w:color w:val="auto"/>
              </w:rPr>
            </w:pPr>
            <w:r>
              <w:rPr>
                <w:rFonts w:hint="eastAsia" w:cs="宋体"/>
                <w:color w:val="auto"/>
              </w:rPr>
              <w:t>姓名</w:t>
            </w:r>
          </w:p>
        </w:tc>
        <w:tc>
          <w:tcPr>
            <w:tcW w:w="1402"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tcPr>
          <w:p>
            <w:pPr>
              <w:autoSpaceDE w:val="0"/>
              <w:autoSpaceDN w:val="0"/>
              <w:snapToGrid w:val="0"/>
              <w:jc w:val="center"/>
              <w:rPr>
                <w:rFonts w:cs="Times New Roman"/>
                <w:color w:val="auto"/>
              </w:rPr>
            </w:pPr>
          </w:p>
        </w:tc>
        <w:tc>
          <w:tcPr>
            <w:tcW w:w="1105"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autoSpaceDE w:val="0"/>
              <w:autoSpaceDN w:val="0"/>
              <w:snapToGrid w:val="0"/>
              <w:jc w:val="center"/>
              <w:rPr>
                <w:rFonts w:cs="Times New Roman"/>
                <w:color w:val="auto"/>
              </w:rPr>
            </w:pPr>
            <w:r>
              <w:rPr>
                <w:rFonts w:hint="eastAsia" w:cs="宋体"/>
                <w:color w:val="auto"/>
              </w:rPr>
              <w:t>年龄</w:t>
            </w:r>
          </w:p>
        </w:tc>
        <w:tc>
          <w:tcPr>
            <w:tcW w:w="13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tcPr>
          <w:p>
            <w:pPr>
              <w:autoSpaceDE w:val="0"/>
              <w:autoSpaceDN w:val="0"/>
              <w:snapToGrid w:val="0"/>
              <w:jc w:val="center"/>
              <w:rPr>
                <w:rFonts w:cs="Times New Roman"/>
                <w:color w:val="auto"/>
              </w:rPr>
            </w:pPr>
          </w:p>
        </w:tc>
        <w:tc>
          <w:tcPr>
            <w:tcW w:w="1854" w:type="dxa"/>
            <w:gridSpan w:val="2"/>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autoSpaceDE w:val="0"/>
              <w:autoSpaceDN w:val="0"/>
              <w:snapToGrid w:val="0"/>
              <w:jc w:val="center"/>
              <w:rPr>
                <w:rFonts w:cs="Times New Roman"/>
                <w:color w:val="auto"/>
              </w:rPr>
            </w:pPr>
            <w:r>
              <w:rPr>
                <w:rFonts w:hint="eastAsia" w:cs="宋体"/>
                <w:color w:val="auto"/>
              </w:rPr>
              <w:t>执业或职业资格证书名称</w:t>
            </w:r>
          </w:p>
        </w:tc>
        <w:tc>
          <w:tcPr>
            <w:tcW w:w="1662" w:type="dxa"/>
            <w:gridSpan w:val="2"/>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tcPr>
          <w:p>
            <w:pPr>
              <w:autoSpaceDE w:val="0"/>
              <w:autoSpaceDN w:val="0"/>
              <w:snapToGrid w:val="0"/>
              <w:spacing w:line="200" w:lineRule="exact"/>
              <w:jc w:val="center"/>
              <w:rPr>
                <w:rFonts w:cs="Times New Roman"/>
                <w:color w:val="auto"/>
              </w:rPr>
            </w:pPr>
          </w:p>
        </w:tc>
      </w:tr>
      <w:tr>
        <w:tblPrEx>
          <w:tblCellMar>
            <w:top w:w="0" w:type="dxa"/>
            <w:left w:w="0" w:type="dxa"/>
            <w:bottom w:w="0" w:type="dxa"/>
            <w:right w:w="0" w:type="dxa"/>
          </w:tblCellMar>
        </w:tblPrEx>
        <w:trPr>
          <w:trHeight w:val="989" w:hRule="atLeast"/>
        </w:trPr>
        <w:tc>
          <w:tcPr>
            <w:tcW w:w="1253"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autoSpaceDE w:val="0"/>
              <w:autoSpaceDN w:val="0"/>
              <w:snapToGrid w:val="0"/>
              <w:jc w:val="center"/>
              <w:rPr>
                <w:rFonts w:cs="Times New Roman"/>
                <w:color w:val="auto"/>
              </w:rPr>
            </w:pPr>
            <w:r>
              <w:rPr>
                <w:rFonts w:hint="eastAsia" w:cs="宋体"/>
                <w:color w:val="auto"/>
              </w:rPr>
              <w:t>技术职称</w:t>
            </w:r>
          </w:p>
        </w:tc>
        <w:tc>
          <w:tcPr>
            <w:tcW w:w="1402"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tcPr>
          <w:p>
            <w:pPr>
              <w:autoSpaceDE w:val="0"/>
              <w:autoSpaceDN w:val="0"/>
              <w:snapToGrid w:val="0"/>
              <w:jc w:val="center"/>
              <w:rPr>
                <w:rFonts w:cs="Times New Roman"/>
                <w:color w:val="auto"/>
              </w:rPr>
            </w:pPr>
          </w:p>
        </w:tc>
        <w:tc>
          <w:tcPr>
            <w:tcW w:w="1105"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autoSpaceDE w:val="0"/>
              <w:autoSpaceDN w:val="0"/>
              <w:snapToGrid w:val="0"/>
              <w:jc w:val="center"/>
              <w:rPr>
                <w:rFonts w:cs="Times New Roman"/>
                <w:color w:val="auto"/>
              </w:rPr>
            </w:pPr>
            <w:r>
              <w:rPr>
                <w:rFonts w:hint="eastAsia" w:cs="宋体"/>
                <w:color w:val="auto"/>
              </w:rPr>
              <w:t>学历</w:t>
            </w:r>
          </w:p>
        </w:tc>
        <w:tc>
          <w:tcPr>
            <w:tcW w:w="13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tcPr>
          <w:p>
            <w:pPr>
              <w:autoSpaceDE w:val="0"/>
              <w:autoSpaceDN w:val="0"/>
              <w:snapToGrid w:val="0"/>
              <w:jc w:val="center"/>
              <w:rPr>
                <w:rFonts w:cs="Times New Roman"/>
                <w:color w:val="auto"/>
              </w:rPr>
            </w:pPr>
          </w:p>
        </w:tc>
        <w:tc>
          <w:tcPr>
            <w:tcW w:w="1854" w:type="dxa"/>
            <w:gridSpan w:val="2"/>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autoSpaceDE w:val="0"/>
              <w:autoSpaceDN w:val="0"/>
              <w:snapToGrid w:val="0"/>
              <w:jc w:val="center"/>
              <w:rPr>
                <w:rFonts w:cs="Times New Roman"/>
                <w:color w:val="auto"/>
              </w:rPr>
            </w:pPr>
            <w:r>
              <w:rPr>
                <w:rFonts w:hint="eastAsia" w:cs="宋体"/>
                <w:color w:val="auto"/>
              </w:rPr>
              <w:t>拟在本标段工程任职</w:t>
            </w:r>
          </w:p>
        </w:tc>
        <w:tc>
          <w:tcPr>
            <w:tcW w:w="1662" w:type="dxa"/>
            <w:gridSpan w:val="2"/>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tcPr>
          <w:p>
            <w:pPr>
              <w:autoSpaceDE w:val="0"/>
              <w:autoSpaceDN w:val="0"/>
              <w:snapToGrid w:val="0"/>
              <w:spacing w:line="200" w:lineRule="exact"/>
              <w:jc w:val="center"/>
              <w:rPr>
                <w:rFonts w:cs="Times New Roman"/>
                <w:color w:val="auto"/>
              </w:rPr>
            </w:pPr>
          </w:p>
        </w:tc>
      </w:tr>
      <w:tr>
        <w:tblPrEx>
          <w:tblCellMar>
            <w:top w:w="0" w:type="dxa"/>
            <w:left w:w="0" w:type="dxa"/>
            <w:bottom w:w="0" w:type="dxa"/>
            <w:right w:w="0" w:type="dxa"/>
          </w:tblCellMar>
        </w:tblPrEx>
        <w:trPr>
          <w:trHeight w:val="931" w:hRule="atLeast"/>
        </w:trPr>
        <w:tc>
          <w:tcPr>
            <w:tcW w:w="1253"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autoSpaceDE w:val="0"/>
              <w:autoSpaceDN w:val="0"/>
              <w:snapToGrid w:val="0"/>
              <w:jc w:val="center"/>
              <w:rPr>
                <w:rFonts w:cs="Times New Roman"/>
                <w:color w:val="auto"/>
              </w:rPr>
            </w:pPr>
            <w:r>
              <w:rPr>
                <w:rFonts w:hint="eastAsia" w:cs="宋体"/>
                <w:color w:val="auto"/>
              </w:rPr>
              <w:t>工作年限</w:t>
            </w:r>
          </w:p>
        </w:tc>
        <w:tc>
          <w:tcPr>
            <w:tcW w:w="3871" w:type="dxa"/>
            <w:gridSpan w:val="3"/>
            <w:tcBorders>
              <w:top w:val="single" w:color="000000" w:sz="4" w:space="0"/>
              <w:left w:val="single" w:color="000000" w:sz="4" w:space="0"/>
              <w:bottom w:val="nil"/>
              <w:right w:val="nil"/>
            </w:tcBorders>
            <w:shd w:val="clear" w:color="auto" w:fill="FFFFFF"/>
            <w:tcMar>
              <w:top w:w="0" w:type="dxa"/>
              <w:left w:w="31" w:type="dxa"/>
              <w:bottom w:w="0" w:type="dxa"/>
              <w:right w:w="0" w:type="dxa"/>
            </w:tcMar>
          </w:tcPr>
          <w:p>
            <w:pPr>
              <w:autoSpaceDE w:val="0"/>
              <w:autoSpaceDN w:val="0"/>
              <w:snapToGrid w:val="0"/>
              <w:jc w:val="center"/>
              <w:rPr>
                <w:rFonts w:cs="Times New Roman"/>
                <w:color w:val="auto"/>
              </w:rPr>
            </w:pPr>
          </w:p>
        </w:tc>
        <w:tc>
          <w:tcPr>
            <w:tcW w:w="1854" w:type="dxa"/>
            <w:gridSpan w:val="2"/>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autoSpaceDE w:val="0"/>
              <w:autoSpaceDN w:val="0"/>
              <w:snapToGrid w:val="0"/>
              <w:jc w:val="center"/>
              <w:rPr>
                <w:rFonts w:cs="Times New Roman"/>
                <w:color w:val="auto"/>
              </w:rPr>
            </w:pPr>
            <w:r>
              <w:rPr>
                <w:rFonts w:hint="eastAsia" w:cs="宋体"/>
                <w:color w:val="auto"/>
              </w:rPr>
              <w:t>从事勘察设计工作年限</w:t>
            </w:r>
          </w:p>
        </w:tc>
        <w:tc>
          <w:tcPr>
            <w:tcW w:w="1662" w:type="dxa"/>
            <w:gridSpan w:val="2"/>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tcPr>
          <w:p>
            <w:pPr>
              <w:autoSpaceDE w:val="0"/>
              <w:autoSpaceDN w:val="0"/>
              <w:snapToGrid w:val="0"/>
              <w:jc w:val="center"/>
              <w:rPr>
                <w:rFonts w:cs="Times New Roman"/>
                <w:color w:val="auto"/>
              </w:rPr>
            </w:pPr>
          </w:p>
        </w:tc>
      </w:tr>
      <w:tr>
        <w:tblPrEx>
          <w:tblCellMar>
            <w:top w:w="0" w:type="dxa"/>
            <w:left w:w="0" w:type="dxa"/>
            <w:bottom w:w="0" w:type="dxa"/>
            <w:right w:w="0" w:type="dxa"/>
          </w:tblCellMar>
        </w:tblPrEx>
        <w:trPr>
          <w:trHeight w:val="494" w:hRule="atLeast"/>
        </w:trPr>
        <w:tc>
          <w:tcPr>
            <w:tcW w:w="1253"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autoSpaceDE w:val="0"/>
              <w:autoSpaceDN w:val="0"/>
              <w:snapToGrid w:val="0"/>
              <w:jc w:val="center"/>
              <w:rPr>
                <w:rFonts w:cs="Times New Roman"/>
                <w:color w:val="auto"/>
              </w:rPr>
            </w:pPr>
            <w:r>
              <w:rPr>
                <w:rFonts w:hint="eastAsia" w:cs="宋体"/>
                <w:color w:val="auto"/>
              </w:rPr>
              <w:t>毕业学校</w:t>
            </w:r>
          </w:p>
        </w:tc>
        <w:tc>
          <w:tcPr>
            <w:tcW w:w="7387" w:type="dxa"/>
            <w:gridSpan w:val="7"/>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vAlign w:val="center"/>
          </w:tcPr>
          <w:p>
            <w:pPr>
              <w:autoSpaceDE w:val="0"/>
              <w:autoSpaceDN w:val="0"/>
              <w:snapToGrid w:val="0"/>
              <w:rPr>
                <w:rFonts w:cs="Times New Roman"/>
                <w:color w:val="auto"/>
              </w:rPr>
            </w:pPr>
            <w:r>
              <w:rPr>
                <w:rFonts w:hint="eastAsia" w:cs="宋体"/>
                <w:color w:val="auto"/>
              </w:rPr>
              <w:t>年月毕业于学校专业，学制年</w:t>
            </w:r>
          </w:p>
        </w:tc>
      </w:tr>
      <w:tr>
        <w:tblPrEx>
          <w:tblCellMar>
            <w:top w:w="0" w:type="dxa"/>
            <w:left w:w="0" w:type="dxa"/>
            <w:bottom w:w="0" w:type="dxa"/>
            <w:right w:w="0" w:type="dxa"/>
          </w:tblCellMar>
        </w:tblPrEx>
        <w:trPr>
          <w:trHeight w:val="566" w:hRule="atLeast"/>
        </w:trPr>
        <w:tc>
          <w:tcPr>
            <w:tcW w:w="8640" w:type="dxa"/>
            <w:gridSpan w:val="8"/>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vAlign w:val="center"/>
          </w:tcPr>
          <w:p>
            <w:pPr>
              <w:autoSpaceDE w:val="0"/>
              <w:autoSpaceDN w:val="0"/>
              <w:snapToGrid w:val="0"/>
              <w:jc w:val="center"/>
              <w:rPr>
                <w:rFonts w:cs="Times New Roman"/>
                <w:color w:val="auto"/>
              </w:rPr>
            </w:pPr>
            <w:r>
              <w:rPr>
                <w:rFonts w:hint="eastAsia" w:cs="宋体"/>
                <w:color w:val="auto"/>
              </w:rPr>
              <w:t>经历</w:t>
            </w:r>
          </w:p>
        </w:tc>
      </w:tr>
      <w:tr>
        <w:tblPrEx>
          <w:tblCellMar>
            <w:top w:w="0" w:type="dxa"/>
            <w:left w:w="0" w:type="dxa"/>
            <w:bottom w:w="0" w:type="dxa"/>
            <w:right w:w="0" w:type="dxa"/>
          </w:tblCellMar>
        </w:tblPrEx>
        <w:trPr>
          <w:trHeight w:val="926" w:hRule="atLeast"/>
        </w:trPr>
        <w:tc>
          <w:tcPr>
            <w:tcW w:w="1253"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autoSpaceDE w:val="0"/>
              <w:autoSpaceDN w:val="0"/>
              <w:snapToGrid w:val="0"/>
              <w:jc w:val="center"/>
              <w:rPr>
                <w:rFonts w:cs="Times New Roman"/>
                <w:color w:val="auto"/>
              </w:rPr>
            </w:pPr>
            <w:r>
              <w:rPr>
                <w:rFonts w:hint="eastAsia" w:cs="宋体"/>
                <w:color w:val="auto"/>
              </w:rPr>
              <w:t>时间</w:t>
            </w:r>
          </w:p>
        </w:tc>
        <w:tc>
          <w:tcPr>
            <w:tcW w:w="4200" w:type="dxa"/>
            <w:gridSpan w:val="4"/>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autoSpaceDE w:val="0"/>
              <w:autoSpaceDN w:val="0"/>
              <w:snapToGrid w:val="0"/>
              <w:jc w:val="center"/>
              <w:rPr>
                <w:rFonts w:cs="Times New Roman"/>
                <w:color w:val="auto"/>
              </w:rPr>
            </w:pPr>
            <w:r>
              <w:rPr>
                <w:rFonts w:hint="eastAsia" w:cs="宋体"/>
                <w:color w:val="auto"/>
              </w:rPr>
              <w:t>参加过的类似工程项目名称</w:t>
            </w:r>
          </w:p>
        </w:tc>
        <w:tc>
          <w:tcPr>
            <w:tcW w:w="1907" w:type="dxa"/>
            <w:gridSpan w:val="2"/>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autoSpaceDE w:val="0"/>
              <w:autoSpaceDN w:val="0"/>
              <w:snapToGrid w:val="0"/>
              <w:jc w:val="center"/>
              <w:rPr>
                <w:rFonts w:cs="Times New Roman"/>
                <w:color w:val="auto"/>
              </w:rPr>
            </w:pPr>
            <w:r>
              <w:rPr>
                <w:rFonts w:hint="eastAsia" w:cs="宋体"/>
                <w:color w:val="auto"/>
              </w:rPr>
              <w:t>担任职务</w:t>
            </w:r>
          </w:p>
        </w:tc>
        <w:tc>
          <w:tcPr>
            <w:tcW w:w="1280" w:type="dxa"/>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vAlign w:val="center"/>
          </w:tcPr>
          <w:p>
            <w:pPr>
              <w:autoSpaceDE w:val="0"/>
              <w:autoSpaceDN w:val="0"/>
              <w:snapToGrid w:val="0"/>
              <w:jc w:val="center"/>
              <w:rPr>
                <w:rFonts w:cs="Times New Roman"/>
                <w:color w:val="auto"/>
              </w:rPr>
            </w:pPr>
            <w:r>
              <w:rPr>
                <w:rFonts w:hint="eastAsia" w:cs="宋体"/>
                <w:color w:val="auto"/>
              </w:rPr>
              <w:t>发包人及联系电话</w:t>
            </w:r>
          </w:p>
        </w:tc>
      </w:tr>
      <w:tr>
        <w:tblPrEx>
          <w:tblCellMar>
            <w:top w:w="0" w:type="dxa"/>
            <w:left w:w="0" w:type="dxa"/>
            <w:bottom w:w="0" w:type="dxa"/>
            <w:right w:w="0" w:type="dxa"/>
          </w:tblCellMar>
        </w:tblPrEx>
        <w:trPr>
          <w:trHeight w:val="533" w:hRule="atLeast"/>
        </w:trPr>
        <w:tc>
          <w:tcPr>
            <w:tcW w:w="1253"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tcPr>
          <w:p>
            <w:pPr>
              <w:autoSpaceDE w:val="0"/>
              <w:autoSpaceDN w:val="0"/>
              <w:snapToGrid w:val="0"/>
              <w:jc w:val="center"/>
              <w:rPr>
                <w:rFonts w:cs="Times New Roman"/>
                <w:color w:val="auto"/>
              </w:rPr>
            </w:pPr>
          </w:p>
        </w:tc>
        <w:tc>
          <w:tcPr>
            <w:tcW w:w="4200" w:type="dxa"/>
            <w:gridSpan w:val="4"/>
            <w:tcBorders>
              <w:top w:val="single" w:color="000000" w:sz="4" w:space="0"/>
              <w:left w:val="single" w:color="000000" w:sz="4" w:space="0"/>
              <w:bottom w:val="nil"/>
              <w:right w:val="nil"/>
            </w:tcBorders>
            <w:shd w:val="clear" w:color="auto" w:fill="FFFFFF"/>
            <w:tcMar>
              <w:top w:w="0" w:type="dxa"/>
              <w:left w:w="31" w:type="dxa"/>
              <w:bottom w:w="0" w:type="dxa"/>
              <w:right w:w="0" w:type="dxa"/>
            </w:tcMar>
          </w:tcPr>
          <w:p>
            <w:pPr>
              <w:autoSpaceDE w:val="0"/>
              <w:autoSpaceDN w:val="0"/>
              <w:snapToGrid w:val="0"/>
              <w:jc w:val="center"/>
              <w:rPr>
                <w:rFonts w:cs="Times New Roman"/>
                <w:color w:val="auto"/>
              </w:rPr>
            </w:pPr>
          </w:p>
        </w:tc>
        <w:tc>
          <w:tcPr>
            <w:tcW w:w="1907" w:type="dxa"/>
            <w:gridSpan w:val="2"/>
            <w:tcBorders>
              <w:top w:val="single" w:color="000000" w:sz="4" w:space="0"/>
              <w:left w:val="single" w:color="000000" w:sz="4" w:space="0"/>
              <w:bottom w:val="nil"/>
              <w:right w:val="nil"/>
            </w:tcBorders>
            <w:shd w:val="clear" w:color="auto" w:fill="FFFFFF"/>
            <w:tcMar>
              <w:top w:w="0" w:type="dxa"/>
              <w:left w:w="31" w:type="dxa"/>
              <w:bottom w:w="0" w:type="dxa"/>
              <w:right w:w="0" w:type="dxa"/>
            </w:tcMar>
          </w:tcPr>
          <w:p>
            <w:pPr>
              <w:autoSpaceDE w:val="0"/>
              <w:autoSpaceDN w:val="0"/>
              <w:snapToGrid w:val="0"/>
              <w:jc w:val="center"/>
              <w:rPr>
                <w:rFonts w:cs="Times New Roman"/>
                <w:color w:val="auto"/>
              </w:rPr>
            </w:pPr>
          </w:p>
        </w:tc>
        <w:tc>
          <w:tcPr>
            <w:tcW w:w="1280" w:type="dxa"/>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tcPr>
          <w:p>
            <w:pPr>
              <w:autoSpaceDE w:val="0"/>
              <w:autoSpaceDN w:val="0"/>
              <w:snapToGrid w:val="0"/>
              <w:jc w:val="center"/>
              <w:rPr>
                <w:rFonts w:cs="Times New Roman"/>
                <w:color w:val="auto"/>
              </w:rPr>
            </w:pPr>
          </w:p>
        </w:tc>
      </w:tr>
      <w:tr>
        <w:tblPrEx>
          <w:tblCellMar>
            <w:top w:w="0" w:type="dxa"/>
            <w:left w:w="0" w:type="dxa"/>
            <w:bottom w:w="0" w:type="dxa"/>
            <w:right w:w="0" w:type="dxa"/>
          </w:tblCellMar>
        </w:tblPrEx>
        <w:trPr>
          <w:trHeight w:val="528" w:hRule="atLeast"/>
        </w:trPr>
        <w:tc>
          <w:tcPr>
            <w:tcW w:w="1253"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tcPr>
          <w:p>
            <w:pPr>
              <w:autoSpaceDE w:val="0"/>
              <w:autoSpaceDN w:val="0"/>
              <w:snapToGrid w:val="0"/>
              <w:jc w:val="center"/>
              <w:rPr>
                <w:rFonts w:cs="Times New Roman"/>
                <w:color w:val="auto"/>
              </w:rPr>
            </w:pPr>
          </w:p>
        </w:tc>
        <w:tc>
          <w:tcPr>
            <w:tcW w:w="4200" w:type="dxa"/>
            <w:gridSpan w:val="4"/>
            <w:tcBorders>
              <w:top w:val="single" w:color="000000" w:sz="4" w:space="0"/>
              <w:left w:val="single" w:color="000000" w:sz="4" w:space="0"/>
              <w:bottom w:val="nil"/>
              <w:right w:val="nil"/>
            </w:tcBorders>
            <w:shd w:val="clear" w:color="auto" w:fill="FFFFFF"/>
            <w:tcMar>
              <w:top w:w="0" w:type="dxa"/>
              <w:left w:w="31" w:type="dxa"/>
              <w:bottom w:w="0" w:type="dxa"/>
              <w:right w:w="0" w:type="dxa"/>
            </w:tcMar>
          </w:tcPr>
          <w:p>
            <w:pPr>
              <w:autoSpaceDE w:val="0"/>
              <w:autoSpaceDN w:val="0"/>
              <w:snapToGrid w:val="0"/>
              <w:jc w:val="center"/>
              <w:rPr>
                <w:rFonts w:cs="Times New Roman"/>
                <w:color w:val="auto"/>
              </w:rPr>
            </w:pPr>
          </w:p>
        </w:tc>
        <w:tc>
          <w:tcPr>
            <w:tcW w:w="1907" w:type="dxa"/>
            <w:gridSpan w:val="2"/>
            <w:tcBorders>
              <w:top w:val="single" w:color="000000" w:sz="4" w:space="0"/>
              <w:left w:val="single" w:color="000000" w:sz="4" w:space="0"/>
              <w:bottom w:val="nil"/>
              <w:right w:val="nil"/>
            </w:tcBorders>
            <w:shd w:val="clear" w:color="auto" w:fill="FFFFFF"/>
            <w:tcMar>
              <w:top w:w="0" w:type="dxa"/>
              <w:left w:w="31" w:type="dxa"/>
              <w:bottom w:w="0" w:type="dxa"/>
              <w:right w:w="0" w:type="dxa"/>
            </w:tcMar>
          </w:tcPr>
          <w:p>
            <w:pPr>
              <w:autoSpaceDE w:val="0"/>
              <w:autoSpaceDN w:val="0"/>
              <w:snapToGrid w:val="0"/>
              <w:jc w:val="center"/>
              <w:rPr>
                <w:rFonts w:cs="Times New Roman"/>
                <w:color w:val="auto"/>
              </w:rPr>
            </w:pPr>
          </w:p>
        </w:tc>
        <w:tc>
          <w:tcPr>
            <w:tcW w:w="1280" w:type="dxa"/>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tcPr>
          <w:p>
            <w:pPr>
              <w:autoSpaceDE w:val="0"/>
              <w:autoSpaceDN w:val="0"/>
              <w:snapToGrid w:val="0"/>
              <w:jc w:val="center"/>
              <w:rPr>
                <w:rFonts w:cs="Times New Roman"/>
                <w:color w:val="auto"/>
              </w:rPr>
            </w:pPr>
          </w:p>
        </w:tc>
      </w:tr>
      <w:tr>
        <w:tblPrEx>
          <w:tblCellMar>
            <w:top w:w="0" w:type="dxa"/>
            <w:left w:w="0" w:type="dxa"/>
            <w:bottom w:w="0" w:type="dxa"/>
            <w:right w:w="0" w:type="dxa"/>
          </w:tblCellMar>
        </w:tblPrEx>
        <w:trPr>
          <w:trHeight w:val="533" w:hRule="atLeast"/>
        </w:trPr>
        <w:tc>
          <w:tcPr>
            <w:tcW w:w="1253"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tcPr>
          <w:p>
            <w:pPr>
              <w:autoSpaceDE w:val="0"/>
              <w:autoSpaceDN w:val="0"/>
              <w:snapToGrid w:val="0"/>
              <w:jc w:val="center"/>
              <w:rPr>
                <w:rFonts w:cs="Times New Roman"/>
                <w:color w:val="auto"/>
              </w:rPr>
            </w:pPr>
          </w:p>
        </w:tc>
        <w:tc>
          <w:tcPr>
            <w:tcW w:w="4200" w:type="dxa"/>
            <w:gridSpan w:val="4"/>
            <w:tcBorders>
              <w:top w:val="single" w:color="000000" w:sz="4" w:space="0"/>
              <w:left w:val="single" w:color="000000" w:sz="4" w:space="0"/>
              <w:bottom w:val="nil"/>
              <w:right w:val="nil"/>
            </w:tcBorders>
            <w:shd w:val="clear" w:color="auto" w:fill="FFFFFF"/>
            <w:tcMar>
              <w:top w:w="0" w:type="dxa"/>
              <w:left w:w="31" w:type="dxa"/>
              <w:bottom w:w="0" w:type="dxa"/>
              <w:right w:w="0" w:type="dxa"/>
            </w:tcMar>
          </w:tcPr>
          <w:p>
            <w:pPr>
              <w:autoSpaceDE w:val="0"/>
              <w:autoSpaceDN w:val="0"/>
              <w:snapToGrid w:val="0"/>
              <w:jc w:val="center"/>
              <w:rPr>
                <w:rFonts w:cs="Times New Roman"/>
                <w:color w:val="auto"/>
              </w:rPr>
            </w:pPr>
          </w:p>
        </w:tc>
        <w:tc>
          <w:tcPr>
            <w:tcW w:w="1907" w:type="dxa"/>
            <w:gridSpan w:val="2"/>
            <w:tcBorders>
              <w:top w:val="single" w:color="000000" w:sz="4" w:space="0"/>
              <w:left w:val="single" w:color="000000" w:sz="4" w:space="0"/>
              <w:bottom w:val="nil"/>
              <w:right w:val="nil"/>
            </w:tcBorders>
            <w:shd w:val="clear" w:color="auto" w:fill="FFFFFF"/>
            <w:tcMar>
              <w:top w:w="0" w:type="dxa"/>
              <w:left w:w="31" w:type="dxa"/>
              <w:bottom w:w="0" w:type="dxa"/>
              <w:right w:w="0" w:type="dxa"/>
            </w:tcMar>
          </w:tcPr>
          <w:p>
            <w:pPr>
              <w:autoSpaceDE w:val="0"/>
              <w:autoSpaceDN w:val="0"/>
              <w:snapToGrid w:val="0"/>
              <w:jc w:val="center"/>
              <w:rPr>
                <w:rFonts w:cs="Times New Roman"/>
                <w:color w:val="auto"/>
              </w:rPr>
            </w:pPr>
          </w:p>
        </w:tc>
        <w:tc>
          <w:tcPr>
            <w:tcW w:w="1280" w:type="dxa"/>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tcPr>
          <w:p>
            <w:pPr>
              <w:autoSpaceDE w:val="0"/>
              <w:autoSpaceDN w:val="0"/>
              <w:snapToGrid w:val="0"/>
              <w:jc w:val="center"/>
              <w:rPr>
                <w:rFonts w:cs="Times New Roman"/>
                <w:color w:val="auto"/>
              </w:rPr>
            </w:pPr>
          </w:p>
        </w:tc>
      </w:tr>
      <w:tr>
        <w:tblPrEx>
          <w:tblCellMar>
            <w:top w:w="0" w:type="dxa"/>
            <w:left w:w="0" w:type="dxa"/>
            <w:bottom w:w="0" w:type="dxa"/>
            <w:right w:w="0" w:type="dxa"/>
          </w:tblCellMar>
        </w:tblPrEx>
        <w:trPr>
          <w:trHeight w:val="528" w:hRule="atLeast"/>
        </w:trPr>
        <w:tc>
          <w:tcPr>
            <w:tcW w:w="1253"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tcPr>
          <w:p>
            <w:pPr>
              <w:autoSpaceDE w:val="0"/>
              <w:autoSpaceDN w:val="0"/>
              <w:snapToGrid w:val="0"/>
              <w:jc w:val="center"/>
              <w:rPr>
                <w:rFonts w:cs="Times New Roman"/>
                <w:color w:val="auto"/>
              </w:rPr>
            </w:pPr>
          </w:p>
        </w:tc>
        <w:tc>
          <w:tcPr>
            <w:tcW w:w="4200" w:type="dxa"/>
            <w:gridSpan w:val="4"/>
            <w:tcBorders>
              <w:top w:val="single" w:color="000000" w:sz="4" w:space="0"/>
              <w:left w:val="single" w:color="000000" w:sz="4" w:space="0"/>
              <w:bottom w:val="nil"/>
              <w:right w:val="nil"/>
            </w:tcBorders>
            <w:shd w:val="clear" w:color="auto" w:fill="FFFFFF"/>
            <w:tcMar>
              <w:top w:w="0" w:type="dxa"/>
              <w:left w:w="31" w:type="dxa"/>
              <w:bottom w:w="0" w:type="dxa"/>
              <w:right w:w="0" w:type="dxa"/>
            </w:tcMar>
          </w:tcPr>
          <w:p>
            <w:pPr>
              <w:autoSpaceDE w:val="0"/>
              <w:autoSpaceDN w:val="0"/>
              <w:snapToGrid w:val="0"/>
              <w:jc w:val="center"/>
              <w:rPr>
                <w:rFonts w:cs="Times New Roman"/>
                <w:color w:val="auto"/>
              </w:rPr>
            </w:pPr>
          </w:p>
        </w:tc>
        <w:tc>
          <w:tcPr>
            <w:tcW w:w="1907" w:type="dxa"/>
            <w:gridSpan w:val="2"/>
            <w:tcBorders>
              <w:top w:val="single" w:color="000000" w:sz="4" w:space="0"/>
              <w:left w:val="single" w:color="000000" w:sz="4" w:space="0"/>
              <w:bottom w:val="nil"/>
              <w:right w:val="nil"/>
            </w:tcBorders>
            <w:shd w:val="clear" w:color="auto" w:fill="FFFFFF"/>
            <w:tcMar>
              <w:top w:w="0" w:type="dxa"/>
              <w:left w:w="31" w:type="dxa"/>
              <w:bottom w:w="0" w:type="dxa"/>
              <w:right w:w="0" w:type="dxa"/>
            </w:tcMar>
          </w:tcPr>
          <w:p>
            <w:pPr>
              <w:autoSpaceDE w:val="0"/>
              <w:autoSpaceDN w:val="0"/>
              <w:snapToGrid w:val="0"/>
              <w:jc w:val="center"/>
              <w:rPr>
                <w:rFonts w:cs="Times New Roman"/>
                <w:color w:val="auto"/>
              </w:rPr>
            </w:pPr>
          </w:p>
        </w:tc>
        <w:tc>
          <w:tcPr>
            <w:tcW w:w="1280" w:type="dxa"/>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tcPr>
          <w:p>
            <w:pPr>
              <w:autoSpaceDE w:val="0"/>
              <w:autoSpaceDN w:val="0"/>
              <w:snapToGrid w:val="0"/>
              <w:jc w:val="center"/>
              <w:rPr>
                <w:rFonts w:cs="Times New Roman"/>
                <w:color w:val="auto"/>
              </w:rPr>
            </w:pPr>
          </w:p>
        </w:tc>
      </w:tr>
      <w:tr>
        <w:tblPrEx>
          <w:tblCellMar>
            <w:top w:w="0" w:type="dxa"/>
            <w:left w:w="0" w:type="dxa"/>
            <w:bottom w:w="0" w:type="dxa"/>
            <w:right w:w="0" w:type="dxa"/>
          </w:tblCellMar>
        </w:tblPrEx>
        <w:trPr>
          <w:trHeight w:val="528" w:hRule="atLeast"/>
        </w:trPr>
        <w:tc>
          <w:tcPr>
            <w:tcW w:w="1253"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tcPr>
          <w:p>
            <w:pPr>
              <w:autoSpaceDE w:val="0"/>
              <w:autoSpaceDN w:val="0"/>
              <w:snapToGrid w:val="0"/>
              <w:jc w:val="center"/>
              <w:rPr>
                <w:rFonts w:cs="Times New Roman"/>
                <w:color w:val="auto"/>
              </w:rPr>
            </w:pPr>
          </w:p>
        </w:tc>
        <w:tc>
          <w:tcPr>
            <w:tcW w:w="4200" w:type="dxa"/>
            <w:gridSpan w:val="4"/>
            <w:tcBorders>
              <w:top w:val="single" w:color="000000" w:sz="4" w:space="0"/>
              <w:left w:val="single" w:color="000000" w:sz="4" w:space="0"/>
              <w:bottom w:val="nil"/>
              <w:right w:val="nil"/>
            </w:tcBorders>
            <w:shd w:val="clear" w:color="auto" w:fill="FFFFFF"/>
            <w:tcMar>
              <w:top w:w="0" w:type="dxa"/>
              <w:left w:w="31" w:type="dxa"/>
              <w:bottom w:w="0" w:type="dxa"/>
              <w:right w:w="0" w:type="dxa"/>
            </w:tcMar>
          </w:tcPr>
          <w:p>
            <w:pPr>
              <w:autoSpaceDE w:val="0"/>
              <w:autoSpaceDN w:val="0"/>
              <w:snapToGrid w:val="0"/>
              <w:jc w:val="center"/>
              <w:rPr>
                <w:rFonts w:cs="Times New Roman"/>
                <w:color w:val="auto"/>
              </w:rPr>
            </w:pPr>
          </w:p>
        </w:tc>
        <w:tc>
          <w:tcPr>
            <w:tcW w:w="1907" w:type="dxa"/>
            <w:gridSpan w:val="2"/>
            <w:tcBorders>
              <w:top w:val="single" w:color="000000" w:sz="4" w:space="0"/>
              <w:left w:val="single" w:color="000000" w:sz="4" w:space="0"/>
              <w:bottom w:val="nil"/>
              <w:right w:val="nil"/>
            </w:tcBorders>
            <w:shd w:val="clear" w:color="auto" w:fill="FFFFFF"/>
            <w:tcMar>
              <w:top w:w="0" w:type="dxa"/>
              <w:left w:w="31" w:type="dxa"/>
              <w:bottom w:w="0" w:type="dxa"/>
              <w:right w:w="0" w:type="dxa"/>
            </w:tcMar>
          </w:tcPr>
          <w:p>
            <w:pPr>
              <w:autoSpaceDE w:val="0"/>
              <w:autoSpaceDN w:val="0"/>
              <w:snapToGrid w:val="0"/>
              <w:jc w:val="center"/>
              <w:rPr>
                <w:rFonts w:cs="Times New Roman"/>
                <w:color w:val="auto"/>
              </w:rPr>
            </w:pPr>
          </w:p>
        </w:tc>
        <w:tc>
          <w:tcPr>
            <w:tcW w:w="1280" w:type="dxa"/>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tcPr>
          <w:p>
            <w:pPr>
              <w:autoSpaceDE w:val="0"/>
              <w:autoSpaceDN w:val="0"/>
              <w:snapToGrid w:val="0"/>
              <w:jc w:val="center"/>
              <w:rPr>
                <w:rFonts w:cs="Times New Roman"/>
                <w:color w:val="auto"/>
              </w:rPr>
            </w:pPr>
          </w:p>
        </w:tc>
      </w:tr>
      <w:tr>
        <w:tblPrEx>
          <w:tblCellMar>
            <w:top w:w="0" w:type="dxa"/>
            <w:left w:w="0" w:type="dxa"/>
            <w:bottom w:w="0" w:type="dxa"/>
            <w:right w:w="0" w:type="dxa"/>
          </w:tblCellMar>
        </w:tblPrEx>
        <w:trPr>
          <w:trHeight w:val="533" w:hRule="atLeast"/>
        </w:trPr>
        <w:tc>
          <w:tcPr>
            <w:tcW w:w="1253"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tcPr>
          <w:p>
            <w:pPr>
              <w:autoSpaceDE w:val="0"/>
              <w:autoSpaceDN w:val="0"/>
              <w:snapToGrid w:val="0"/>
              <w:jc w:val="center"/>
              <w:rPr>
                <w:rFonts w:cs="Times New Roman"/>
                <w:color w:val="auto"/>
              </w:rPr>
            </w:pPr>
          </w:p>
        </w:tc>
        <w:tc>
          <w:tcPr>
            <w:tcW w:w="4200" w:type="dxa"/>
            <w:gridSpan w:val="4"/>
            <w:tcBorders>
              <w:top w:val="single" w:color="000000" w:sz="4" w:space="0"/>
              <w:left w:val="single" w:color="000000" w:sz="4" w:space="0"/>
              <w:bottom w:val="nil"/>
              <w:right w:val="nil"/>
            </w:tcBorders>
            <w:shd w:val="clear" w:color="auto" w:fill="FFFFFF"/>
            <w:tcMar>
              <w:top w:w="0" w:type="dxa"/>
              <w:left w:w="31" w:type="dxa"/>
              <w:bottom w:w="0" w:type="dxa"/>
              <w:right w:w="0" w:type="dxa"/>
            </w:tcMar>
          </w:tcPr>
          <w:p>
            <w:pPr>
              <w:autoSpaceDE w:val="0"/>
              <w:autoSpaceDN w:val="0"/>
              <w:snapToGrid w:val="0"/>
              <w:jc w:val="center"/>
              <w:rPr>
                <w:rFonts w:cs="Times New Roman"/>
                <w:color w:val="auto"/>
              </w:rPr>
            </w:pPr>
          </w:p>
        </w:tc>
        <w:tc>
          <w:tcPr>
            <w:tcW w:w="1907" w:type="dxa"/>
            <w:gridSpan w:val="2"/>
            <w:tcBorders>
              <w:top w:val="single" w:color="000000" w:sz="4" w:space="0"/>
              <w:left w:val="single" w:color="000000" w:sz="4" w:space="0"/>
              <w:bottom w:val="nil"/>
              <w:right w:val="nil"/>
            </w:tcBorders>
            <w:shd w:val="clear" w:color="auto" w:fill="FFFFFF"/>
            <w:tcMar>
              <w:top w:w="0" w:type="dxa"/>
              <w:left w:w="31" w:type="dxa"/>
              <w:bottom w:w="0" w:type="dxa"/>
              <w:right w:w="0" w:type="dxa"/>
            </w:tcMar>
          </w:tcPr>
          <w:p>
            <w:pPr>
              <w:autoSpaceDE w:val="0"/>
              <w:autoSpaceDN w:val="0"/>
              <w:snapToGrid w:val="0"/>
              <w:jc w:val="center"/>
              <w:rPr>
                <w:rFonts w:cs="Times New Roman"/>
                <w:color w:val="auto"/>
              </w:rPr>
            </w:pPr>
          </w:p>
        </w:tc>
        <w:tc>
          <w:tcPr>
            <w:tcW w:w="1280" w:type="dxa"/>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tcPr>
          <w:p>
            <w:pPr>
              <w:autoSpaceDE w:val="0"/>
              <w:autoSpaceDN w:val="0"/>
              <w:snapToGrid w:val="0"/>
              <w:jc w:val="center"/>
              <w:rPr>
                <w:rFonts w:cs="Times New Roman"/>
                <w:color w:val="auto"/>
              </w:rPr>
            </w:pPr>
          </w:p>
        </w:tc>
      </w:tr>
      <w:tr>
        <w:tblPrEx>
          <w:tblCellMar>
            <w:top w:w="0" w:type="dxa"/>
            <w:left w:w="0" w:type="dxa"/>
            <w:bottom w:w="0" w:type="dxa"/>
            <w:right w:w="0" w:type="dxa"/>
          </w:tblCellMar>
        </w:tblPrEx>
        <w:trPr>
          <w:trHeight w:val="528" w:hRule="atLeast"/>
        </w:trPr>
        <w:tc>
          <w:tcPr>
            <w:tcW w:w="1253"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tcPr>
          <w:p>
            <w:pPr>
              <w:autoSpaceDE w:val="0"/>
              <w:autoSpaceDN w:val="0"/>
              <w:snapToGrid w:val="0"/>
              <w:jc w:val="center"/>
              <w:rPr>
                <w:rFonts w:cs="Times New Roman"/>
                <w:color w:val="auto"/>
              </w:rPr>
            </w:pPr>
          </w:p>
        </w:tc>
        <w:tc>
          <w:tcPr>
            <w:tcW w:w="4200" w:type="dxa"/>
            <w:gridSpan w:val="4"/>
            <w:tcBorders>
              <w:top w:val="single" w:color="000000" w:sz="4" w:space="0"/>
              <w:left w:val="single" w:color="000000" w:sz="4" w:space="0"/>
              <w:bottom w:val="nil"/>
              <w:right w:val="nil"/>
            </w:tcBorders>
            <w:shd w:val="clear" w:color="auto" w:fill="FFFFFF"/>
            <w:tcMar>
              <w:top w:w="0" w:type="dxa"/>
              <w:left w:w="31" w:type="dxa"/>
              <w:bottom w:w="0" w:type="dxa"/>
              <w:right w:w="0" w:type="dxa"/>
            </w:tcMar>
          </w:tcPr>
          <w:p>
            <w:pPr>
              <w:autoSpaceDE w:val="0"/>
              <w:autoSpaceDN w:val="0"/>
              <w:snapToGrid w:val="0"/>
              <w:jc w:val="center"/>
              <w:rPr>
                <w:rFonts w:cs="Times New Roman"/>
                <w:color w:val="auto"/>
              </w:rPr>
            </w:pPr>
          </w:p>
        </w:tc>
        <w:tc>
          <w:tcPr>
            <w:tcW w:w="1907" w:type="dxa"/>
            <w:gridSpan w:val="2"/>
            <w:tcBorders>
              <w:top w:val="single" w:color="000000" w:sz="4" w:space="0"/>
              <w:left w:val="single" w:color="000000" w:sz="4" w:space="0"/>
              <w:bottom w:val="nil"/>
              <w:right w:val="nil"/>
            </w:tcBorders>
            <w:shd w:val="clear" w:color="auto" w:fill="FFFFFF"/>
            <w:tcMar>
              <w:top w:w="0" w:type="dxa"/>
              <w:left w:w="31" w:type="dxa"/>
              <w:bottom w:w="0" w:type="dxa"/>
              <w:right w:w="0" w:type="dxa"/>
            </w:tcMar>
          </w:tcPr>
          <w:p>
            <w:pPr>
              <w:autoSpaceDE w:val="0"/>
              <w:autoSpaceDN w:val="0"/>
              <w:snapToGrid w:val="0"/>
              <w:jc w:val="center"/>
              <w:rPr>
                <w:rFonts w:cs="Times New Roman"/>
                <w:color w:val="auto"/>
              </w:rPr>
            </w:pPr>
          </w:p>
        </w:tc>
        <w:tc>
          <w:tcPr>
            <w:tcW w:w="1280" w:type="dxa"/>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tcPr>
          <w:p>
            <w:pPr>
              <w:autoSpaceDE w:val="0"/>
              <w:autoSpaceDN w:val="0"/>
              <w:snapToGrid w:val="0"/>
              <w:jc w:val="center"/>
              <w:rPr>
                <w:rFonts w:cs="Times New Roman"/>
                <w:color w:val="auto"/>
              </w:rPr>
            </w:pPr>
          </w:p>
        </w:tc>
      </w:tr>
      <w:tr>
        <w:tblPrEx>
          <w:tblCellMar>
            <w:top w:w="0" w:type="dxa"/>
            <w:left w:w="0" w:type="dxa"/>
            <w:bottom w:w="0" w:type="dxa"/>
            <w:right w:w="0" w:type="dxa"/>
          </w:tblCellMar>
        </w:tblPrEx>
        <w:trPr>
          <w:trHeight w:val="533" w:hRule="atLeast"/>
        </w:trPr>
        <w:tc>
          <w:tcPr>
            <w:tcW w:w="2655" w:type="dxa"/>
            <w:gridSpan w:val="2"/>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autoSpaceDE w:val="0"/>
              <w:autoSpaceDN w:val="0"/>
              <w:snapToGrid w:val="0"/>
              <w:jc w:val="center"/>
              <w:rPr>
                <w:rFonts w:cs="Times New Roman"/>
                <w:color w:val="auto"/>
              </w:rPr>
            </w:pPr>
            <w:r>
              <w:rPr>
                <w:rFonts w:hint="eastAsia" w:cs="宋体"/>
                <w:color w:val="auto"/>
              </w:rPr>
              <w:t>获奖情况</w:t>
            </w:r>
          </w:p>
        </w:tc>
        <w:tc>
          <w:tcPr>
            <w:tcW w:w="5985" w:type="dxa"/>
            <w:gridSpan w:val="6"/>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tcPr>
          <w:p>
            <w:pPr>
              <w:autoSpaceDE w:val="0"/>
              <w:autoSpaceDN w:val="0"/>
              <w:snapToGrid w:val="0"/>
              <w:jc w:val="center"/>
              <w:rPr>
                <w:rFonts w:cs="Times New Roman"/>
                <w:color w:val="auto"/>
              </w:rPr>
            </w:pPr>
          </w:p>
        </w:tc>
      </w:tr>
      <w:tr>
        <w:tblPrEx>
          <w:tblCellMar>
            <w:top w:w="0" w:type="dxa"/>
            <w:left w:w="0" w:type="dxa"/>
            <w:bottom w:w="0" w:type="dxa"/>
            <w:right w:w="0" w:type="dxa"/>
          </w:tblCellMar>
        </w:tblPrEx>
        <w:trPr>
          <w:trHeight w:val="1142" w:hRule="atLeast"/>
        </w:trPr>
        <w:tc>
          <w:tcPr>
            <w:tcW w:w="2655" w:type="dxa"/>
            <w:gridSpan w:val="2"/>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autoSpaceDE w:val="0"/>
              <w:autoSpaceDN w:val="0"/>
              <w:snapToGrid w:val="0"/>
              <w:jc w:val="center"/>
              <w:rPr>
                <w:rFonts w:cs="Times New Roman"/>
                <w:color w:val="auto"/>
              </w:rPr>
            </w:pPr>
            <w:r>
              <w:rPr>
                <w:rFonts w:hint="eastAsia" w:cs="宋体"/>
                <w:color w:val="auto"/>
              </w:rPr>
              <w:t>目前承担的任务</w:t>
            </w:r>
          </w:p>
        </w:tc>
        <w:tc>
          <w:tcPr>
            <w:tcW w:w="5985" w:type="dxa"/>
            <w:gridSpan w:val="6"/>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tcPr>
          <w:p>
            <w:pPr>
              <w:autoSpaceDE w:val="0"/>
              <w:autoSpaceDN w:val="0"/>
              <w:snapToGrid w:val="0"/>
              <w:jc w:val="center"/>
              <w:rPr>
                <w:rFonts w:cs="Times New Roman"/>
                <w:color w:val="auto"/>
              </w:rPr>
            </w:pPr>
          </w:p>
        </w:tc>
      </w:tr>
      <w:tr>
        <w:tblPrEx>
          <w:tblCellMar>
            <w:top w:w="0" w:type="dxa"/>
            <w:left w:w="0" w:type="dxa"/>
            <w:bottom w:w="0" w:type="dxa"/>
            <w:right w:w="0" w:type="dxa"/>
          </w:tblCellMar>
        </w:tblPrEx>
        <w:trPr>
          <w:trHeight w:val="1152" w:hRule="atLeast"/>
        </w:trPr>
        <w:tc>
          <w:tcPr>
            <w:tcW w:w="2655" w:type="dxa"/>
            <w:gridSpan w:val="2"/>
            <w:tcBorders>
              <w:top w:val="single" w:color="000000" w:sz="4" w:space="0"/>
              <w:left w:val="single" w:color="000000" w:sz="4" w:space="0"/>
              <w:bottom w:val="single" w:color="000000" w:sz="4" w:space="0"/>
              <w:right w:val="nil"/>
            </w:tcBorders>
            <w:shd w:val="clear" w:color="auto" w:fill="FFFFFF"/>
            <w:tcMar>
              <w:top w:w="0" w:type="dxa"/>
              <w:left w:w="31" w:type="dxa"/>
              <w:bottom w:w="0" w:type="dxa"/>
              <w:right w:w="0" w:type="dxa"/>
            </w:tcMar>
            <w:vAlign w:val="center"/>
          </w:tcPr>
          <w:p>
            <w:pPr>
              <w:autoSpaceDE w:val="0"/>
              <w:autoSpaceDN w:val="0"/>
              <w:snapToGrid w:val="0"/>
              <w:jc w:val="center"/>
              <w:rPr>
                <w:rFonts w:cs="Times New Roman"/>
                <w:color w:val="auto"/>
              </w:rPr>
            </w:pPr>
            <w:r>
              <w:rPr>
                <w:rFonts w:hint="eastAsia" w:cs="宋体"/>
                <w:color w:val="auto"/>
              </w:rPr>
              <w:t>备注</w:t>
            </w:r>
          </w:p>
        </w:tc>
        <w:tc>
          <w:tcPr>
            <w:tcW w:w="5985" w:type="dxa"/>
            <w:gridSpan w:val="6"/>
            <w:tcBorders>
              <w:top w:val="single" w:color="000000" w:sz="4" w:space="0"/>
              <w:left w:val="single" w:color="000000" w:sz="4" w:space="0"/>
              <w:bottom w:val="single" w:color="000000" w:sz="4" w:space="0"/>
              <w:right w:val="single" w:color="000000" w:sz="4" w:space="0"/>
            </w:tcBorders>
            <w:shd w:val="clear" w:color="auto" w:fill="FFFFFF"/>
            <w:tcMar>
              <w:top w:w="0" w:type="dxa"/>
              <w:left w:w="31" w:type="dxa"/>
              <w:bottom w:w="0" w:type="dxa"/>
              <w:right w:w="0" w:type="dxa"/>
            </w:tcMar>
          </w:tcPr>
          <w:p>
            <w:pPr>
              <w:autoSpaceDE w:val="0"/>
              <w:autoSpaceDN w:val="0"/>
              <w:snapToGrid w:val="0"/>
              <w:jc w:val="center"/>
              <w:rPr>
                <w:rFonts w:cs="Times New Roman"/>
                <w:color w:val="auto"/>
              </w:rPr>
            </w:pPr>
          </w:p>
        </w:tc>
      </w:tr>
    </w:tbl>
    <w:p>
      <w:pPr>
        <w:autoSpaceDE w:val="0"/>
        <w:autoSpaceDN w:val="0"/>
        <w:snapToGrid w:val="0"/>
        <w:spacing w:line="200" w:lineRule="exact"/>
        <w:jc w:val="left"/>
        <w:rPr>
          <w:rFonts w:ascii="黑体" w:hAnsi="Times New Roman" w:eastAsia="黑体" w:cs="Times New Roman"/>
          <w:color w:val="auto"/>
          <w:sz w:val="20"/>
          <w:szCs w:val="20"/>
        </w:rPr>
      </w:pPr>
    </w:p>
    <w:p>
      <w:pPr>
        <w:autoSpaceDE w:val="0"/>
        <w:autoSpaceDN w:val="0"/>
        <w:snapToGrid w:val="0"/>
        <w:spacing w:line="200" w:lineRule="exact"/>
        <w:jc w:val="left"/>
        <w:rPr>
          <w:rFonts w:ascii="Times New Roman" w:cs="Times New Roman"/>
          <w:color w:val="auto"/>
          <w:sz w:val="20"/>
          <w:szCs w:val="20"/>
        </w:rPr>
      </w:pPr>
    </w:p>
    <w:p>
      <w:pPr>
        <w:autoSpaceDE w:val="0"/>
        <w:autoSpaceDN w:val="0"/>
        <w:snapToGrid w:val="0"/>
        <w:spacing w:before="1" w:line="271" w:lineRule="auto"/>
        <w:jc w:val="left"/>
        <w:rPr>
          <w:rFonts w:cs="Times New Roman"/>
          <w:color w:val="auto"/>
        </w:rPr>
      </w:pPr>
      <w:r>
        <w:rPr>
          <w:rFonts w:hint="eastAsia" w:cs="宋体"/>
          <w:color w:val="auto"/>
          <w:sz w:val="24"/>
          <w:szCs w:val="24"/>
        </w:rPr>
        <w:t>注：</w:t>
      </w:r>
      <w:r>
        <w:rPr>
          <w:color w:val="auto"/>
        </w:rPr>
        <w:t>1.</w:t>
      </w:r>
      <w:r>
        <w:rPr>
          <w:rFonts w:hint="eastAsia" w:cs="宋体"/>
          <w:color w:val="auto"/>
        </w:rPr>
        <w:t>本表应填写项目负责人相关情况。</w:t>
      </w:r>
    </w:p>
    <w:p>
      <w:pPr>
        <w:rPr>
          <w:rFonts w:cs="Times New Roman"/>
          <w:color w:val="auto"/>
        </w:rPr>
      </w:pPr>
      <w:r>
        <w:rPr>
          <w:color w:val="auto"/>
        </w:rPr>
        <w:t>2.</w:t>
      </w:r>
      <w:r>
        <w:rPr>
          <w:rFonts w:hint="eastAsia" w:cs="宋体"/>
          <w:color w:val="auto"/>
        </w:rPr>
        <w:t>投标人应根据招标文件第二章“投标人须知”第</w:t>
      </w:r>
      <w:r>
        <w:rPr>
          <w:color w:val="auto"/>
        </w:rPr>
        <w:t>3.5.4</w:t>
      </w:r>
      <w:r>
        <w:rPr>
          <w:rFonts w:hint="eastAsia" w:cs="宋体"/>
          <w:color w:val="auto"/>
        </w:rPr>
        <w:t>项的要求在本表后附相关证明材料。</w:t>
      </w:r>
      <w:r>
        <w:rPr>
          <w:rFonts w:cs="Times New Roman"/>
          <w:color w:val="auto"/>
        </w:rPr>
        <w:br w:type="page"/>
      </w:r>
    </w:p>
    <w:p>
      <w:pPr>
        <w:autoSpaceDE w:val="0"/>
        <w:autoSpaceDN w:val="0"/>
        <w:snapToGrid w:val="0"/>
        <w:spacing w:line="341" w:lineRule="exact"/>
        <w:ind w:left="3351" w:right="3292"/>
        <w:jc w:val="center"/>
        <w:rPr>
          <w:rFonts w:ascii="黑体" w:hAnsi="黑体" w:eastAsia="黑体" w:cs="Times New Roman"/>
          <w:b/>
          <w:bCs/>
          <w:color w:val="auto"/>
          <w:position w:val="-3"/>
          <w:sz w:val="30"/>
          <w:szCs w:val="30"/>
        </w:rPr>
      </w:pPr>
    </w:p>
    <w:p>
      <w:pPr>
        <w:autoSpaceDE w:val="0"/>
        <w:autoSpaceDN w:val="0"/>
        <w:snapToGrid w:val="0"/>
        <w:spacing w:line="341" w:lineRule="exact"/>
        <w:ind w:left="3351" w:right="3292"/>
        <w:jc w:val="center"/>
        <w:rPr>
          <w:rFonts w:ascii="黑体" w:eastAsia="黑体" w:cs="Times New Roman"/>
          <w:b/>
          <w:bCs/>
          <w:color w:val="auto"/>
          <w:spacing w:val="-3"/>
          <w:position w:val="-3"/>
          <w:sz w:val="30"/>
          <w:szCs w:val="30"/>
        </w:rPr>
      </w:pPr>
      <w:r>
        <w:rPr>
          <w:rFonts w:hint="eastAsia" w:ascii="黑体" w:hAnsi="黑体" w:eastAsia="黑体" w:cs="黑体"/>
          <w:b/>
          <w:bCs/>
          <w:color w:val="auto"/>
          <w:position w:val="-3"/>
          <w:sz w:val="30"/>
          <w:szCs w:val="30"/>
        </w:rPr>
        <w:t>六、其他</w:t>
      </w:r>
      <w:r>
        <w:rPr>
          <w:rFonts w:hint="eastAsia" w:ascii="黑体" w:hAnsi="黑体" w:eastAsia="黑体" w:cs="黑体"/>
          <w:b/>
          <w:bCs/>
          <w:color w:val="auto"/>
          <w:spacing w:val="-3"/>
          <w:position w:val="-3"/>
          <w:sz w:val="30"/>
          <w:szCs w:val="30"/>
        </w:rPr>
        <w:t>材料</w:t>
      </w:r>
    </w:p>
    <w:p>
      <w:pPr>
        <w:autoSpaceDE w:val="0"/>
        <w:autoSpaceDN w:val="0"/>
        <w:adjustRightInd w:val="0"/>
        <w:spacing w:before="75" w:line="360" w:lineRule="auto"/>
        <w:ind w:left="709" w:right="171" w:hanging="273"/>
        <w:rPr>
          <w:rFonts w:cs="Times New Roman"/>
          <w:color w:val="auto"/>
          <w:kern w:val="0"/>
        </w:rPr>
      </w:pPr>
    </w:p>
    <w:p>
      <w:pPr>
        <w:autoSpaceDE w:val="0"/>
        <w:autoSpaceDN w:val="0"/>
        <w:adjustRightInd w:val="0"/>
        <w:spacing w:before="75" w:line="360" w:lineRule="auto"/>
        <w:ind w:left="709" w:right="171" w:hanging="273"/>
        <w:rPr>
          <w:rFonts w:cs="Times New Roman"/>
          <w:color w:val="auto"/>
          <w:kern w:val="0"/>
        </w:rPr>
      </w:pPr>
    </w:p>
    <w:p>
      <w:pPr>
        <w:autoSpaceDE w:val="0"/>
        <w:autoSpaceDN w:val="0"/>
        <w:adjustRightInd w:val="0"/>
        <w:spacing w:before="75" w:line="360" w:lineRule="auto"/>
        <w:ind w:left="709" w:right="171" w:hanging="273"/>
        <w:rPr>
          <w:rFonts w:cs="Times New Roman"/>
          <w:color w:val="auto"/>
          <w:kern w:val="0"/>
        </w:rPr>
      </w:pPr>
    </w:p>
    <w:p>
      <w:pPr>
        <w:autoSpaceDE w:val="0"/>
        <w:autoSpaceDN w:val="0"/>
        <w:adjustRightInd w:val="0"/>
        <w:spacing w:before="75" w:line="360" w:lineRule="auto"/>
        <w:ind w:left="709" w:right="171" w:hanging="273"/>
        <w:rPr>
          <w:rFonts w:cs="Times New Roman"/>
          <w:color w:val="auto"/>
          <w:kern w:val="0"/>
        </w:rPr>
      </w:pPr>
    </w:p>
    <w:p>
      <w:pPr>
        <w:autoSpaceDE w:val="0"/>
        <w:autoSpaceDN w:val="0"/>
        <w:adjustRightInd w:val="0"/>
        <w:spacing w:before="75" w:line="360" w:lineRule="auto"/>
        <w:ind w:left="709" w:right="171" w:hanging="273"/>
        <w:rPr>
          <w:rFonts w:cs="Times New Roman"/>
          <w:color w:val="auto"/>
          <w:kern w:val="0"/>
        </w:rPr>
      </w:pPr>
    </w:p>
    <w:p>
      <w:pPr>
        <w:autoSpaceDE w:val="0"/>
        <w:autoSpaceDN w:val="0"/>
        <w:adjustRightInd w:val="0"/>
        <w:spacing w:before="75" w:line="360" w:lineRule="auto"/>
        <w:ind w:left="709" w:right="171" w:hanging="273"/>
        <w:rPr>
          <w:rFonts w:cs="Times New Roman"/>
          <w:color w:val="auto"/>
          <w:kern w:val="0"/>
        </w:rPr>
      </w:pPr>
    </w:p>
    <w:p>
      <w:pPr>
        <w:autoSpaceDE w:val="0"/>
        <w:autoSpaceDN w:val="0"/>
        <w:adjustRightInd w:val="0"/>
        <w:spacing w:before="75" w:line="360" w:lineRule="auto"/>
        <w:ind w:left="709" w:right="171" w:hanging="273"/>
        <w:rPr>
          <w:rFonts w:cs="Times New Roman"/>
          <w:color w:val="auto"/>
          <w:kern w:val="0"/>
        </w:rPr>
      </w:pPr>
    </w:p>
    <w:p>
      <w:pPr>
        <w:autoSpaceDE w:val="0"/>
        <w:autoSpaceDN w:val="0"/>
        <w:adjustRightInd w:val="0"/>
        <w:spacing w:before="75" w:line="360" w:lineRule="auto"/>
        <w:ind w:left="709" w:right="171" w:hanging="273"/>
        <w:rPr>
          <w:rFonts w:cs="Times New Roman"/>
          <w:color w:val="auto"/>
          <w:kern w:val="0"/>
        </w:rPr>
      </w:pPr>
    </w:p>
    <w:p>
      <w:pPr>
        <w:autoSpaceDE w:val="0"/>
        <w:autoSpaceDN w:val="0"/>
        <w:adjustRightInd w:val="0"/>
        <w:spacing w:before="75" w:line="360" w:lineRule="auto"/>
        <w:ind w:left="709" w:right="171" w:hanging="273"/>
        <w:rPr>
          <w:rFonts w:cs="Times New Roman"/>
          <w:color w:val="auto"/>
          <w:kern w:val="0"/>
        </w:rPr>
      </w:pPr>
    </w:p>
    <w:p>
      <w:pPr>
        <w:autoSpaceDE w:val="0"/>
        <w:autoSpaceDN w:val="0"/>
        <w:adjustRightInd w:val="0"/>
        <w:spacing w:before="75" w:line="360" w:lineRule="auto"/>
        <w:ind w:left="709" w:right="171" w:hanging="273"/>
        <w:rPr>
          <w:rFonts w:cs="Times New Roman"/>
          <w:color w:val="auto"/>
          <w:kern w:val="0"/>
        </w:rPr>
      </w:pPr>
    </w:p>
    <w:p>
      <w:pPr>
        <w:autoSpaceDE w:val="0"/>
        <w:autoSpaceDN w:val="0"/>
        <w:adjustRightInd w:val="0"/>
        <w:spacing w:before="75" w:line="360" w:lineRule="auto"/>
        <w:ind w:left="709" w:right="171" w:hanging="273"/>
        <w:rPr>
          <w:rFonts w:cs="Times New Roman"/>
          <w:color w:val="auto"/>
          <w:kern w:val="0"/>
        </w:rPr>
      </w:pPr>
    </w:p>
    <w:p>
      <w:pPr>
        <w:autoSpaceDE w:val="0"/>
        <w:autoSpaceDN w:val="0"/>
        <w:adjustRightInd w:val="0"/>
        <w:spacing w:before="75" w:line="360" w:lineRule="auto"/>
        <w:ind w:left="709" w:right="171" w:hanging="273"/>
        <w:rPr>
          <w:rFonts w:cs="Times New Roman"/>
          <w:color w:val="auto"/>
          <w:kern w:val="0"/>
        </w:rPr>
      </w:pPr>
    </w:p>
    <w:p>
      <w:pPr>
        <w:autoSpaceDE w:val="0"/>
        <w:autoSpaceDN w:val="0"/>
        <w:adjustRightInd w:val="0"/>
        <w:spacing w:before="75" w:line="360" w:lineRule="auto"/>
        <w:ind w:left="709" w:right="171" w:hanging="273"/>
        <w:rPr>
          <w:rFonts w:cs="Times New Roman"/>
          <w:color w:val="auto"/>
          <w:kern w:val="0"/>
        </w:rPr>
      </w:pPr>
    </w:p>
    <w:p>
      <w:pPr>
        <w:autoSpaceDE w:val="0"/>
        <w:autoSpaceDN w:val="0"/>
        <w:adjustRightInd w:val="0"/>
        <w:spacing w:before="75" w:line="360" w:lineRule="auto"/>
        <w:ind w:left="709" w:right="171" w:hanging="273"/>
        <w:rPr>
          <w:rFonts w:cs="Times New Roman"/>
          <w:color w:val="auto"/>
          <w:kern w:val="0"/>
        </w:rPr>
      </w:pPr>
    </w:p>
    <w:p>
      <w:pPr>
        <w:autoSpaceDE w:val="0"/>
        <w:autoSpaceDN w:val="0"/>
        <w:adjustRightInd w:val="0"/>
        <w:spacing w:before="75" w:line="360" w:lineRule="auto"/>
        <w:ind w:left="709" w:right="171" w:hanging="273"/>
        <w:rPr>
          <w:rFonts w:cs="Times New Roman"/>
          <w:color w:val="auto"/>
          <w:kern w:val="0"/>
        </w:rPr>
      </w:pPr>
    </w:p>
    <w:p>
      <w:pPr>
        <w:autoSpaceDE w:val="0"/>
        <w:autoSpaceDN w:val="0"/>
        <w:adjustRightInd w:val="0"/>
        <w:spacing w:before="75" w:line="360" w:lineRule="auto"/>
        <w:ind w:left="709" w:right="171" w:hanging="273"/>
        <w:rPr>
          <w:rFonts w:cs="Times New Roman"/>
          <w:color w:val="auto"/>
          <w:kern w:val="0"/>
        </w:rPr>
      </w:pPr>
    </w:p>
    <w:p>
      <w:pPr>
        <w:autoSpaceDE w:val="0"/>
        <w:autoSpaceDN w:val="0"/>
        <w:adjustRightInd w:val="0"/>
        <w:spacing w:before="75" w:line="360" w:lineRule="auto"/>
        <w:ind w:left="709" w:right="171" w:hanging="273"/>
        <w:rPr>
          <w:rFonts w:cs="Times New Roman"/>
          <w:color w:val="auto"/>
          <w:kern w:val="0"/>
        </w:rPr>
      </w:pPr>
    </w:p>
    <w:p>
      <w:pPr>
        <w:autoSpaceDE w:val="0"/>
        <w:autoSpaceDN w:val="0"/>
        <w:adjustRightInd w:val="0"/>
        <w:spacing w:before="75" w:line="360" w:lineRule="auto"/>
        <w:ind w:left="709" w:right="171" w:hanging="273"/>
        <w:rPr>
          <w:rFonts w:cs="Times New Roman"/>
          <w:color w:val="auto"/>
          <w:kern w:val="0"/>
        </w:rPr>
      </w:pPr>
    </w:p>
    <w:p>
      <w:pPr>
        <w:autoSpaceDE w:val="0"/>
        <w:autoSpaceDN w:val="0"/>
        <w:adjustRightInd w:val="0"/>
        <w:spacing w:before="75" w:line="360" w:lineRule="auto"/>
        <w:ind w:left="709" w:right="171" w:hanging="273"/>
        <w:rPr>
          <w:rFonts w:cs="Times New Roman"/>
          <w:color w:val="auto"/>
          <w:kern w:val="0"/>
        </w:rPr>
      </w:pPr>
    </w:p>
    <w:p>
      <w:pPr>
        <w:autoSpaceDE w:val="0"/>
        <w:autoSpaceDN w:val="0"/>
        <w:adjustRightInd w:val="0"/>
        <w:spacing w:before="75" w:line="360" w:lineRule="auto"/>
        <w:ind w:left="709" w:right="171" w:hanging="273"/>
        <w:rPr>
          <w:rFonts w:cs="Times New Roman"/>
          <w:color w:val="auto"/>
          <w:kern w:val="0"/>
        </w:rPr>
      </w:pPr>
    </w:p>
    <w:p>
      <w:pPr>
        <w:autoSpaceDE w:val="0"/>
        <w:autoSpaceDN w:val="0"/>
        <w:adjustRightInd w:val="0"/>
        <w:spacing w:before="75" w:line="360" w:lineRule="auto"/>
        <w:ind w:left="709" w:right="171" w:hanging="273"/>
        <w:rPr>
          <w:rFonts w:cs="Times New Roman"/>
          <w:color w:val="auto"/>
          <w:kern w:val="0"/>
        </w:rPr>
      </w:pPr>
    </w:p>
    <w:p>
      <w:pPr>
        <w:rPr>
          <w:rFonts w:cs="Times New Roman"/>
          <w:color w:val="auto"/>
          <w:sz w:val="20"/>
          <w:szCs w:val="20"/>
        </w:rPr>
      </w:pPr>
    </w:p>
    <w:p>
      <w:pPr>
        <w:pStyle w:val="50"/>
        <w:rPr>
          <w:rFonts w:cs="Times New Roman"/>
          <w:color w:val="auto"/>
          <w:u w:val="single"/>
        </w:rPr>
        <w:sectPr>
          <w:headerReference r:id="rId19" w:type="default"/>
          <w:footerReference r:id="rId20" w:type="default"/>
          <w:footnotePr>
            <w:numFmt w:val="decimalEnclosedCircle"/>
            <w:numRestart w:val="eachPage"/>
          </w:footnotePr>
          <w:pgSz w:w="11907" w:h="16840"/>
          <w:pgMar w:top="1440" w:right="1797" w:bottom="1440" w:left="1647" w:header="720" w:footer="720" w:gutter="0"/>
          <w:cols w:space="720" w:num="1"/>
          <w:docGrid w:linePitch="286" w:charSpace="0"/>
        </w:sectPr>
      </w:pPr>
    </w:p>
    <w:p>
      <w:pPr>
        <w:pStyle w:val="50"/>
        <w:ind w:firstLine="2040" w:firstLineChars="850"/>
        <w:rPr>
          <w:rFonts w:cs="Times New Roman"/>
          <w:color w:val="auto"/>
          <w:u w:val="single"/>
        </w:rPr>
      </w:pPr>
    </w:p>
    <w:p>
      <w:pPr>
        <w:autoSpaceDE w:val="0"/>
        <w:autoSpaceDN w:val="0"/>
        <w:snapToGrid w:val="0"/>
        <w:ind w:firstLine="2040"/>
        <w:jc w:val="left"/>
        <w:rPr>
          <w:rFonts w:cs="Times New Roman"/>
          <w:color w:val="auto"/>
          <w:sz w:val="31"/>
          <w:szCs w:val="31"/>
        </w:rPr>
      </w:pPr>
      <w:r>
        <w:rPr>
          <w:rFonts w:hint="eastAsia" w:cs="宋体"/>
          <w:color w:val="auto"/>
          <w:sz w:val="31"/>
          <w:szCs w:val="31"/>
        </w:rPr>
        <w:t>省（自治区、直辖市）</w:t>
      </w:r>
    </w:p>
    <w:p>
      <w:pPr>
        <w:autoSpaceDE w:val="0"/>
        <w:autoSpaceDN w:val="0"/>
        <w:snapToGrid w:val="0"/>
        <w:ind w:firstLine="2635"/>
        <w:jc w:val="left"/>
        <w:rPr>
          <w:color w:val="auto"/>
          <w:sz w:val="31"/>
          <w:szCs w:val="31"/>
        </w:rPr>
      </w:pPr>
    </w:p>
    <w:p>
      <w:pPr>
        <w:autoSpaceDE w:val="0"/>
        <w:autoSpaceDN w:val="0"/>
        <w:snapToGrid w:val="0"/>
        <w:jc w:val="center"/>
        <w:rPr>
          <w:rFonts w:ascii="宋体" w:cs="Times New Roman"/>
          <w:color w:val="auto"/>
          <w:sz w:val="31"/>
          <w:szCs w:val="31"/>
        </w:rPr>
      </w:pPr>
      <w:r>
        <w:rPr>
          <w:rFonts w:hint="eastAsia" w:ascii="宋体" w:cs="宋体"/>
          <w:color w:val="auto"/>
          <w:sz w:val="31"/>
          <w:szCs w:val="31"/>
        </w:rPr>
        <w:t>（项目名称）标段勘察设计招标</w:t>
      </w:r>
    </w:p>
    <w:p>
      <w:pPr>
        <w:autoSpaceDE w:val="0"/>
        <w:autoSpaceDN w:val="0"/>
        <w:snapToGrid w:val="0"/>
        <w:jc w:val="left"/>
        <w:rPr>
          <w:color w:val="auto"/>
          <w:sz w:val="24"/>
          <w:szCs w:val="24"/>
        </w:rPr>
      </w:pPr>
    </w:p>
    <w:p>
      <w:pPr>
        <w:autoSpaceDE w:val="0"/>
        <w:autoSpaceDN w:val="0"/>
        <w:snapToGrid w:val="0"/>
        <w:jc w:val="left"/>
        <w:rPr>
          <w:color w:val="auto"/>
          <w:sz w:val="24"/>
          <w:szCs w:val="24"/>
        </w:rPr>
      </w:pPr>
    </w:p>
    <w:p>
      <w:pPr>
        <w:autoSpaceDE w:val="0"/>
        <w:autoSpaceDN w:val="0"/>
        <w:snapToGrid w:val="0"/>
        <w:jc w:val="left"/>
        <w:rPr>
          <w:color w:val="auto"/>
          <w:sz w:val="24"/>
          <w:szCs w:val="24"/>
        </w:rPr>
      </w:pPr>
    </w:p>
    <w:p>
      <w:pPr>
        <w:autoSpaceDE w:val="0"/>
        <w:autoSpaceDN w:val="0"/>
        <w:snapToGrid w:val="0"/>
        <w:jc w:val="left"/>
        <w:rPr>
          <w:color w:val="auto"/>
          <w:sz w:val="24"/>
          <w:szCs w:val="24"/>
        </w:rPr>
      </w:pPr>
    </w:p>
    <w:p>
      <w:pPr>
        <w:autoSpaceDE w:val="0"/>
        <w:autoSpaceDN w:val="0"/>
        <w:snapToGrid w:val="0"/>
        <w:jc w:val="center"/>
        <w:rPr>
          <w:rFonts w:ascii="黑体" w:eastAsia="黑体" w:cs="Times New Roman"/>
          <w:color w:val="auto"/>
          <w:sz w:val="72"/>
          <w:szCs w:val="72"/>
        </w:rPr>
      </w:pPr>
      <w:r>
        <w:rPr>
          <w:rFonts w:hint="eastAsia" w:ascii="黑体" w:hAnsi="黑体" w:eastAsia="黑体" w:cs="黑体"/>
          <w:color w:val="auto"/>
          <w:sz w:val="72"/>
          <w:szCs w:val="72"/>
        </w:rPr>
        <w:t>投标文件</w:t>
      </w:r>
    </w:p>
    <w:p>
      <w:pPr>
        <w:autoSpaceDE w:val="0"/>
        <w:autoSpaceDN w:val="0"/>
        <w:snapToGrid w:val="0"/>
        <w:jc w:val="center"/>
        <w:rPr>
          <w:rFonts w:ascii="黑体" w:eastAsia="黑体" w:cs="Times New Roman"/>
          <w:color w:val="auto"/>
          <w:sz w:val="44"/>
          <w:szCs w:val="44"/>
        </w:rPr>
      </w:pPr>
      <w:r>
        <w:rPr>
          <w:rFonts w:hint="eastAsia" w:ascii="黑体" w:hAnsi="黑体" w:eastAsia="黑体" w:cs="黑体"/>
          <w:color w:val="auto"/>
          <w:sz w:val="44"/>
          <w:szCs w:val="44"/>
        </w:rPr>
        <w:t>（技术文件）</w:t>
      </w:r>
    </w:p>
    <w:p>
      <w:pPr>
        <w:autoSpaceDE w:val="0"/>
        <w:autoSpaceDN w:val="0"/>
        <w:snapToGrid w:val="0"/>
        <w:jc w:val="left"/>
        <w:rPr>
          <w:color w:val="auto"/>
          <w:sz w:val="24"/>
          <w:szCs w:val="24"/>
        </w:rPr>
      </w:pPr>
    </w:p>
    <w:p>
      <w:pPr>
        <w:autoSpaceDE w:val="0"/>
        <w:autoSpaceDN w:val="0"/>
        <w:snapToGrid w:val="0"/>
        <w:jc w:val="left"/>
        <w:rPr>
          <w:color w:val="auto"/>
          <w:sz w:val="24"/>
          <w:szCs w:val="24"/>
        </w:rPr>
      </w:pPr>
    </w:p>
    <w:p>
      <w:pPr>
        <w:autoSpaceDE w:val="0"/>
        <w:autoSpaceDN w:val="0"/>
        <w:snapToGrid w:val="0"/>
        <w:jc w:val="left"/>
        <w:rPr>
          <w:color w:val="auto"/>
          <w:sz w:val="24"/>
          <w:szCs w:val="24"/>
        </w:rPr>
      </w:pPr>
    </w:p>
    <w:p>
      <w:pPr>
        <w:autoSpaceDE w:val="0"/>
        <w:autoSpaceDN w:val="0"/>
        <w:snapToGrid w:val="0"/>
        <w:jc w:val="left"/>
        <w:rPr>
          <w:color w:val="auto"/>
          <w:sz w:val="24"/>
          <w:szCs w:val="24"/>
        </w:rPr>
      </w:pPr>
    </w:p>
    <w:p>
      <w:pPr>
        <w:autoSpaceDE w:val="0"/>
        <w:autoSpaceDN w:val="0"/>
        <w:snapToGrid w:val="0"/>
        <w:jc w:val="left"/>
        <w:rPr>
          <w:color w:val="auto"/>
          <w:sz w:val="24"/>
          <w:szCs w:val="24"/>
        </w:rPr>
      </w:pPr>
    </w:p>
    <w:p>
      <w:pPr>
        <w:autoSpaceDE w:val="0"/>
        <w:autoSpaceDN w:val="0"/>
        <w:snapToGrid w:val="0"/>
        <w:jc w:val="left"/>
        <w:rPr>
          <w:color w:val="auto"/>
          <w:sz w:val="24"/>
          <w:szCs w:val="24"/>
        </w:rPr>
      </w:pPr>
    </w:p>
    <w:p>
      <w:pPr>
        <w:autoSpaceDE w:val="0"/>
        <w:autoSpaceDN w:val="0"/>
        <w:snapToGrid w:val="0"/>
        <w:jc w:val="left"/>
        <w:rPr>
          <w:color w:val="auto"/>
          <w:sz w:val="24"/>
          <w:szCs w:val="24"/>
        </w:rPr>
      </w:pPr>
    </w:p>
    <w:p>
      <w:pPr>
        <w:autoSpaceDE w:val="0"/>
        <w:autoSpaceDN w:val="0"/>
        <w:snapToGrid w:val="0"/>
        <w:jc w:val="left"/>
        <w:rPr>
          <w:color w:val="auto"/>
          <w:sz w:val="24"/>
          <w:szCs w:val="24"/>
        </w:rPr>
      </w:pPr>
    </w:p>
    <w:p>
      <w:pPr>
        <w:autoSpaceDE w:val="0"/>
        <w:autoSpaceDN w:val="0"/>
        <w:snapToGrid w:val="0"/>
        <w:jc w:val="left"/>
        <w:rPr>
          <w:color w:val="auto"/>
          <w:sz w:val="24"/>
          <w:szCs w:val="24"/>
        </w:rPr>
      </w:pPr>
    </w:p>
    <w:p>
      <w:pPr>
        <w:autoSpaceDE w:val="0"/>
        <w:autoSpaceDN w:val="0"/>
        <w:snapToGrid w:val="0"/>
        <w:jc w:val="left"/>
        <w:rPr>
          <w:color w:val="auto"/>
          <w:sz w:val="24"/>
          <w:szCs w:val="24"/>
        </w:rPr>
      </w:pPr>
    </w:p>
    <w:p>
      <w:pPr>
        <w:autoSpaceDE w:val="0"/>
        <w:autoSpaceDN w:val="0"/>
        <w:snapToGrid w:val="0"/>
        <w:jc w:val="left"/>
        <w:rPr>
          <w:color w:val="auto"/>
          <w:sz w:val="24"/>
          <w:szCs w:val="24"/>
        </w:rPr>
      </w:pPr>
    </w:p>
    <w:p>
      <w:pPr>
        <w:autoSpaceDE w:val="0"/>
        <w:autoSpaceDN w:val="0"/>
        <w:snapToGrid w:val="0"/>
        <w:jc w:val="left"/>
        <w:rPr>
          <w:color w:val="auto"/>
          <w:sz w:val="24"/>
          <w:szCs w:val="24"/>
        </w:rPr>
      </w:pPr>
    </w:p>
    <w:p>
      <w:pPr>
        <w:autoSpaceDE w:val="0"/>
        <w:autoSpaceDN w:val="0"/>
        <w:snapToGrid w:val="0"/>
        <w:jc w:val="left"/>
        <w:rPr>
          <w:color w:val="auto"/>
          <w:sz w:val="24"/>
          <w:szCs w:val="24"/>
        </w:rPr>
      </w:pPr>
    </w:p>
    <w:p>
      <w:pPr>
        <w:autoSpaceDE w:val="0"/>
        <w:autoSpaceDN w:val="0"/>
        <w:snapToGrid w:val="0"/>
        <w:jc w:val="left"/>
        <w:rPr>
          <w:color w:val="auto"/>
          <w:sz w:val="24"/>
          <w:szCs w:val="24"/>
        </w:rPr>
      </w:pPr>
    </w:p>
    <w:p>
      <w:pPr>
        <w:autoSpaceDE w:val="0"/>
        <w:autoSpaceDN w:val="0"/>
        <w:snapToGrid w:val="0"/>
        <w:jc w:val="left"/>
        <w:rPr>
          <w:color w:val="auto"/>
          <w:sz w:val="24"/>
          <w:szCs w:val="24"/>
        </w:rPr>
      </w:pPr>
    </w:p>
    <w:p>
      <w:pPr>
        <w:autoSpaceDE w:val="0"/>
        <w:autoSpaceDN w:val="0"/>
        <w:snapToGrid w:val="0"/>
        <w:jc w:val="left"/>
        <w:rPr>
          <w:color w:val="auto"/>
          <w:sz w:val="24"/>
          <w:szCs w:val="24"/>
        </w:rPr>
      </w:pPr>
    </w:p>
    <w:p>
      <w:pPr>
        <w:autoSpaceDE w:val="0"/>
        <w:autoSpaceDN w:val="0"/>
        <w:snapToGrid w:val="0"/>
        <w:jc w:val="left"/>
        <w:rPr>
          <w:color w:val="auto"/>
          <w:sz w:val="24"/>
          <w:szCs w:val="24"/>
        </w:rPr>
      </w:pPr>
    </w:p>
    <w:p>
      <w:pPr>
        <w:autoSpaceDE w:val="0"/>
        <w:autoSpaceDN w:val="0"/>
        <w:snapToGrid w:val="0"/>
        <w:jc w:val="left"/>
        <w:rPr>
          <w:color w:val="auto"/>
          <w:sz w:val="24"/>
          <w:szCs w:val="24"/>
        </w:rPr>
      </w:pPr>
    </w:p>
    <w:p>
      <w:pPr>
        <w:autoSpaceDE w:val="0"/>
        <w:autoSpaceDN w:val="0"/>
        <w:snapToGrid w:val="0"/>
        <w:jc w:val="left"/>
        <w:rPr>
          <w:color w:val="auto"/>
          <w:sz w:val="24"/>
          <w:szCs w:val="24"/>
        </w:rPr>
      </w:pPr>
    </w:p>
    <w:p>
      <w:pPr>
        <w:autoSpaceDE w:val="0"/>
        <w:autoSpaceDN w:val="0"/>
        <w:snapToGrid w:val="0"/>
        <w:jc w:val="center"/>
        <w:rPr>
          <w:rFonts w:ascii="Times New Roman" w:eastAsia="黑体" w:cs="Times New Roman"/>
          <w:color w:val="auto"/>
          <w:sz w:val="28"/>
          <w:szCs w:val="28"/>
          <w:u w:val="single"/>
        </w:rPr>
      </w:pPr>
      <w:r>
        <w:rPr>
          <w:rFonts w:hint="eastAsia" w:ascii="黑体" w:hAnsi="黑体" w:eastAsia="黑体" w:cs="黑体"/>
          <w:color w:val="auto"/>
          <w:sz w:val="28"/>
          <w:szCs w:val="28"/>
        </w:rPr>
        <w:t>投标人：（盖单位章）</w:t>
      </w:r>
    </w:p>
    <w:p>
      <w:pPr>
        <w:autoSpaceDE w:val="0"/>
        <w:autoSpaceDN w:val="0"/>
        <w:snapToGrid w:val="0"/>
        <w:jc w:val="center"/>
        <w:rPr>
          <w:rFonts w:eastAsia="黑体"/>
          <w:color w:val="auto"/>
          <w:sz w:val="28"/>
          <w:szCs w:val="28"/>
          <w:u w:val="single"/>
        </w:rPr>
      </w:pPr>
    </w:p>
    <w:p>
      <w:pPr>
        <w:autoSpaceDE w:val="0"/>
        <w:autoSpaceDN w:val="0"/>
        <w:snapToGrid w:val="0"/>
        <w:jc w:val="center"/>
        <w:rPr>
          <w:rFonts w:eastAsia="黑体"/>
          <w:color w:val="auto"/>
          <w:sz w:val="28"/>
          <w:szCs w:val="28"/>
          <w:u w:val="single"/>
        </w:rPr>
      </w:pPr>
    </w:p>
    <w:p>
      <w:pPr>
        <w:autoSpaceDE w:val="0"/>
        <w:autoSpaceDN w:val="0"/>
        <w:snapToGrid w:val="0"/>
        <w:jc w:val="center"/>
        <w:rPr>
          <w:rFonts w:eastAsia="黑体" w:cs="Times New Roman"/>
          <w:color w:val="auto"/>
          <w:sz w:val="28"/>
          <w:szCs w:val="28"/>
        </w:rPr>
      </w:pPr>
      <w:r>
        <w:rPr>
          <w:rFonts w:hint="eastAsia" w:ascii="黑体" w:hAnsi="黑体" w:eastAsia="黑体" w:cs="黑体"/>
          <w:color w:val="auto"/>
          <w:sz w:val="28"/>
          <w:szCs w:val="28"/>
        </w:rPr>
        <w:t>年月日</w:t>
      </w:r>
    </w:p>
    <w:p>
      <w:pPr>
        <w:ind w:firstLine="1890" w:firstLineChars="900"/>
        <w:rPr>
          <w:rFonts w:cs="Times New Roman"/>
          <w:color w:val="auto"/>
        </w:rPr>
      </w:pPr>
    </w:p>
    <w:p>
      <w:pPr>
        <w:ind w:firstLine="1890" w:firstLineChars="900"/>
        <w:rPr>
          <w:rFonts w:cs="Times New Roman"/>
          <w:color w:val="auto"/>
        </w:rPr>
      </w:pPr>
    </w:p>
    <w:p>
      <w:pPr>
        <w:ind w:firstLine="1890" w:firstLineChars="900"/>
        <w:rPr>
          <w:rFonts w:cs="Times New Roman"/>
          <w:color w:val="auto"/>
        </w:rPr>
      </w:pPr>
    </w:p>
    <w:p>
      <w:pPr>
        <w:ind w:firstLine="1890" w:firstLineChars="900"/>
        <w:rPr>
          <w:rFonts w:cs="Times New Roman"/>
          <w:color w:val="auto"/>
        </w:rPr>
      </w:pPr>
    </w:p>
    <w:p>
      <w:pPr>
        <w:ind w:firstLine="1890" w:firstLineChars="900"/>
        <w:rPr>
          <w:rFonts w:cs="Times New Roman"/>
          <w:color w:val="auto"/>
        </w:rPr>
      </w:pPr>
    </w:p>
    <w:p>
      <w:pPr>
        <w:ind w:firstLine="1890" w:firstLineChars="900"/>
        <w:rPr>
          <w:rFonts w:cs="Times New Roman"/>
          <w:color w:val="auto"/>
        </w:rPr>
      </w:pPr>
    </w:p>
    <w:p>
      <w:pPr>
        <w:ind w:firstLine="1890" w:firstLineChars="900"/>
        <w:rPr>
          <w:rFonts w:cs="Times New Roman"/>
          <w:color w:val="auto"/>
        </w:rPr>
      </w:pPr>
    </w:p>
    <w:p>
      <w:pPr>
        <w:ind w:firstLine="1890" w:firstLineChars="900"/>
        <w:rPr>
          <w:rFonts w:cs="Times New Roman"/>
          <w:color w:val="auto"/>
        </w:rPr>
      </w:pPr>
    </w:p>
    <w:p>
      <w:pPr>
        <w:ind w:firstLine="1890" w:firstLineChars="900"/>
        <w:rPr>
          <w:rFonts w:cs="Times New Roman"/>
          <w:color w:val="auto"/>
        </w:rPr>
      </w:pPr>
    </w:p>
    <w:p>
      <w:pPr>
        <w:ind w:firstLine="1890" w:firstLineChars="900"/>
        <w:rPr>
          <w:rFonts w:cs="Times New Roman"/>
          <w:color w:val="auto"/>
        </w:rPr>
      </w:pPr>
    </w:p>
    <w:p>
      <w:pPr>
        <w:autoSpaceDE w:val="0"/>
        <w:autoSpaceDN w:val="0"/>
        <w:snapToGrid w:val="0"/>
        <w:spacing w:line="360" w:lineRule="auto"/>
        <w:jc w:val="center"/>
        <w:rPr>
          <w:rFonts w:ascii="黑体" w:eastAsia="黑体" w:cs="黑体"/>
          <w:b/>
          <w:bCs/>
          <w:color w:val="auto"/>
          <w:position w:val="-3"/>
          <w:sz w:val="30"/>
          <w:szCs w:val="30"/>
        </w:rPr>
      </w:pPr>
      <w:r>
        <w:rPr>
          <w:rFonts w:hint="eastAsia" w:ascii="黑体" w:hAnsi="黑体" w:eastAsia="黑体" w:cs="黑体"/>
          <w:b/>
          <w:bCs/>
          <w:color w:val="auto"/>
          <w:position w:val="-3"/>
          <w:sz w:val="30"/>
          <w:szCs w:val="30"/>
        </w:rPr>
        <w:t>七、技术建议书</w:t>
      </w:r>
    </w:p>
    <w:p>
      <w:pPr>
        <w:autoSpaceDE w:val="0"/>
        <w:autoSpaceDN w:val="0"/>
        <w:snapToGrid w:val="0"/>
        <w:spacing w:line="360" w:lineRule="auto"/>
        <w:jc w:val="center"/>
        <w:rPr>
          <w:rFonts w:cs="Times New Roman"/>
          <w:color w:val="auto"/>
          <w:position w:val="-3"/>
          <w:sz w:val="24"/>
          <w:szCs w:val="24"/>
        </w:rPr>
      </w:pPr>
    </w:p>
    <w:p>
      <w:pPr>
        <w:snapToGrid w:val="0"/>
        <w:spacing w:line="360" w:lineRule="auto"/>
        <w:ind w:firstLine="480" w:firstLineChars="200"/>
        <w:jc w:val="left"/>
        <w:rPr>
          <w:rFonts w:cs="Times New Roman"/>
          <w:color w:val="auto"/>
          <w:sz w:val="24"/>
          <w:szCs w:val="24"/>
        </w:rPr>
      </w:pPr>
      <w:r>
        <w:rPr>
          <w:rFonts w:hint="eastAsia" w:cs="宋体"/>
          <w:color w:val="auto"/>
          <w:sz w:val="24"/>
          <w:szCs w:val="24"/>
        </w:rPr>
        <w:t>主要内容包括：</w:t>
      </w:r>
    </w:p>
    <w:p>
      <w:pPr>
        <w:snapToGrid w:val="0"/>
        <w:spacing w:line="360" w:lineRule="auto"/>
        <w:ind w:firstLine="480" w:firstLineChars="200"/>
        <w:jc w:val="left"/>
        <w:rPr>
          <w:rFonts w:cs="Times New Roman"/>
          <w:color w:val="auto"/>
          <w:sz w:val="24"/>
          <w:szCs w:val="24"/>
        </w:rPr>
      </w:pPr>
      <w:r>
        <w:rPr>
          <w:color w:val="auto"/>
          <w:sz w:val="24"/>
          <w:szCs w:val="24"/>
        </w:rPr>
        <w:t>1.</w:t>
      </w:r>
      <w:r>
        <w:rPr>
          <w:rFonts w:hint="eastAsia" w:cs="宋体"/>
          <w:color w:val="auto"/>
          <w:sz w:val="24"/>
          <w:szCs w:val="24"/>
        </w:rPr>
        <w:t>对招标项目的理解和总体设计思路</w:t>
      </w:r>
    </w:p>
    <w:p>
      <w:pPr>
        <w:snapToGrid w:val="0"/>
        <w:spacing w:line="360" w:lineRule="auto"/>
        <w:ind w:firstLine="480" w:firstLineChars="200"/>
        <w:jc w:val="left"/>
        <w:rPr>
          <w:rFonts w:cs="Times New Roman"/>
          <w:color w:val="auto"/>
          <w:sz w:val="24"/>
          <w:szCs w:val="24"/>
        </w:rPr>
      </w:pPr>
      <w:r>
        <w:rPr>
          <w:color w:val="auto"/>
          <w:sz w:val="24"/>
          <w:szCs w:val="24"/>
        </w:rPr>
        <w:t>2.</w:t>
      </w:r>
      <w:r>
        <w:rPr>
          <w:rFonts w:hint="eastAsia" w:cs="宋体"/>
          <w:color w:val="auto"/>
          <w:sz w:val="24"/>
          <w:szCs w:val="24"/>
        </w:rPr>
        <w:t>对招标项目勘察的特点、关键性技术问题的认识及其对策措施</w:t>
      </w:r>
    </w:p>
    <w:p>
      <w:pPr>
        <w:snapToGrid w:val="0"/>
        <w:spacing w:line="360" w:lineRule="auto"/>
        <w:ind w:firstLine="480" w:firstLineChars="200"/>
        <w:jc w:val="left"/>
        <w:rPr>
          <w:rFonts w:cs="Times New Roman"/>
          <w:color w:val="auto"/>
          <w:sz w:val="24"/>
          <w:szCs w:val="24"/>
        </w:rPr>
      </w:pPr>
      <w:r>
        <w:rPr>
          <w:color w:val="auto"/>
          <w:sz w:val="24"/>
          <w:szCs w:val="24"/>
        </w:rPr>
        <w:t>3.</w:t>
      </w:r>
      <w:r>
        <w:rPr>
          <w:rFonts w:hint="eastAsia" w:cs="宋体"/>
          <w:color w:val="auto"/>
          <w:sz w:val="24"/>
          <w:szCs w:val="24"/>
        </w:rPr>
        <w:t>勘察工作量及计划安排</w:t>
      </w:r>
    </w:p>
    <w:p>
      <w:pPr>
        <w:snapToGrid w:val="0"/>
        <w:spacing w:line="360" w:lineRule="auto"/>
        <w:ind w:firstLine="480" w:firstLineChars="200"/>
        <w:jc w:val="left"/>
        <w:rPr>
          <w:rFonts w:cs="Times New Roman"/>
          <w:color w:val="auto"/>
          <w:sz w:val="24"/>
          <w:szCs w:val="24"/>
        </w:rPr>
      </w:pPr>
      <w:r>
        <w:rPr>
          <w:color w:val="auto"/>
          <w:sz w:val="24"/>
          <w:szCs w:val="24"/>
        </w:rPr>
        <w:t>4.</w:t>
      </w:r>
      <w:r>
        <w:rPr>
          <w:rFonts w:hint="eastAsia" w:cs="宋体"/>
          <w:color w:val="auto"/>
          <w:sz w:val="24"/>
          <w:szCs w:val="24"/>
        </w:rPr>
        <w:t>勘察的质量保证措施、进度保证、安全保证措施</w:t>
      </w:r>
    </w:p>
    <w:p>
      <w:pPr>
        <w:snapToGrid w:val="0"/>
        <w:spacing w:line="360" w:lineRule="auto"/>
        <w:ind w:firstLine="480" w:firstLineChars="200"/>
        <w:jc w:val="left"/>
        <w:rPr>
          <w:rFonts w:cs="Times New Roman"/>
          <w:color w:val="auto"/>
          <w:sz w:val="24"/>
          <w:szCs w:val="24"/>
        </w:rPr>
      </w:pPr>
      <w:r>
        <w:rPr>
          <w:color w:val="auto"/>
          <w:sz w:val="24"/>
          <w:szCs w:val="24"/>
        </w:rPr>
        <w:t>5.</w:t>
      </w:r>
      <w:r>
        <w:rPr>
          <w:rFonts w:hint="eastAsia" w:cs="宋体"/>
          <w:color w:val="auto"/>
          <w:sz w:val="24"/>
          <w:szCs w:val="24"/>
        </w:rPr>
        <w:t>后续服务的安排及保证措施</w:t>
      </w:r>
    </w:p>
    <w:p>
      <w:pPr>
        <w:snapToGrid w:val="0"/>
        <w:spacing w:line="360" w:lineRule="auto"/>
        <w:ind w:firstLine="480" w:firstLineChars="200"/>
        <w:jc w:val="left"/>
        <w:rPr>
          <w:rFonts w:cs="Times New Roman"/>
          <w:color w:val="auto"/>
          <w:sz w:val="24"/>
          <w:szCs w:val="24"/>
        </w:rPr>
      </w:pPr>
      <w:r>
        <w:rPr>
          <w:color w:val="auto"/>
          <w:sz w:val="24"/>
          <w:szCs w:val="24"/>
        </w:rPr>
        <w:t>6.</w:t>
      </w:r>
      <w:r>
        <w:rPr>
          <w:rFonts w:hint="eastAsia" w:cs="宋体"/>
          <w:color w:val="auto"/>
          <w:sz w:val="24"/>
          <w:szCs w:val="24"/>
        </w:rPr>
        <w:t>其他建议</w:t>
      </w:r>
    </w:p>
    <w:p>
      <w:pPr>
        <w:snapToGrid w:val="0"/>
        <w:spacing w:line="360" w:lineRule="auto"/>
        <w:ind w:firstLine="480" w:firstLineChars="200"/>
        <w:jc w:val="left"/>
        <w:rPr>
          <w:rFonts w:cs="Times New Roman"/>
          <w:color w:val="auto"/>
          <w:sz w:val="24"/>
          <w:szCs w:val="24"/>
        </w:rPr>
      </w:pPr>
      <w:r>
        <w:rPr>
          <w:color w:val="auto"/>
          <w:sz w:val="24"/>
          <w:szCs w:val="24"/>
        </w:rPr>
        <w:t>(</w:t>
      </w:r>
      <w:r>
        <w:rPr>
          <w:rFonts w:hint="eastAsia" w:cs="宋体"/>
          <w:color w:val="auto"/>
          <w:sz w:val="24"/>
          <w:szCs w:val="24"/>
        </w:rPr>
        <w:t>附必要的图纸）</w:t>
      </w:r>
    </w:p>
    <w:p>
      <w:pPr>
        <w:jc w:val="left"/>
        <w:rPr>
          <w:rFonts w:cs="Times New Roman"/>
          <w:color w:val="auto"/>
        </w:rPr>
      </w:pPr>
    </w:p>
    <w:p>
      <w:pPr>
        <w:jc w:val="center"/>
        <w:rPr>
          <w:rFonts w:cs="Times New Roman"/>
          <w:color w:val="auto"/>
        </w:rPr>
      </w:pPr>
    </w:p>
    <w:p>
      <w:pPr>
        <w:spacing w:line="360" w:lineRule="auto"/>
        <w:jc w:val="left"/>
        <w:rPr>
          <w:rFonts w:cs="Times New Roman"/>
          <w:color w:val="auto"/>
          <w:sz w:val="24"/>
          <w:szCs w:val="24"/>
        </w:rPr>
      </w:pPr>
    </w:p>
    <w:p>
      <w:pPr>
        <w:spacing w:line="360" w:lineRule="auto"/>
        <w:jc w:val="left"/>
        <w:rPr>
          <w:rFonts w:cs="Times New Roman"/>
          <w:color w:val="auto"/>
          <w:sz w:val="24"/>
          <w:szCs w:val="24"/>
        </w:rPr>
      </w:pPr>
    </w:p>
    <w:p>
      <w:pPr>
        <w:spacing w:line="360" w:lineRule="auto"/>
        <w:jc w:val="left"/>
        <w:rPr>
          <w:rFonts w:cs="Times New Roman"/>
          <w:color w:val="auto"/>
          <w:sz w:val="24"/>
          <w:szCs w:val="24"/>
        </w:rPr>
      </w:pPr>
    </w:p>
    <w:p>
      <w:pPr>
        <w:spacing w:line="360" w:lineRule="auto"/>
        <w:jc w:val="left"/>
        <w:rPr>
          <w:rFonts w:cs="Times New Roman"/>
          <w:color w:val="auto"/>
          <w:sz w:val="24"/>
          <w:szCs w:val="24"/>
        </w:rPr>
      </w:pPr>
    </w:p>
    <w:p>
      <w:pPr>
        <w:spacing w:line="360" w:lineRule="auto"/>
        <w:jc w:val="left"/>
        <w:rPr>
          <w:rFonts w:cs="Times New Roman"/>
          <w:color w:val="auto"/>
          <w:sz w:val="24"/>
          <w:szCs w:val="24"/>
        </w:rPr>
      </w:pPr>
    </w:p>
    <w:p>
      <w:pPr>
        <w:spacing w:line="360" w:lineRule="auto"/>
        <w:jc w:val="left"/>
        <w:rPr>
          <w:rFonts w:cs="Times New Roman"/>
          <w:color w:val="auto"/>
          <w:sz w:val="24"/>
          <w:szCs w:val="24"/>
        </w:rPr>
      </w:pPr>
    </w:p>
    <w:p>
      <w:pPr>
        <w:spacing w:line="360" w:lineRule="auto"/>
        <w:jc w:val="left"/>
        <w:rPr>
          <w:rFonts w:cs="Times New Roman"/>
          <w:color w:val="auto"/>
          <w:sz w:val="24"/>
          <w:szCs w:val="24"/>
        </w:rPr>
      </w:pPr>
    </w:p>
    <w:p>
      <w:pPr>
        <w:spacing w:line="360" w:lineRule="auto"/>
        <w:jc w:val="left"/>
        <w:rPr>
          <w:rFonts w:cs="Times New Roman"/>
          <w:color w:val="auto"/>
          <w:sz w:val="24"/>
          <w:szCs w:val="24"/>
        </w:rPr>
      </w:pPr>
    </w:p>
    <w:p>
      <w:pPr>
        <w:spacing w:line="360" w:lineRule="auto"/>
        <w:jc w:val="left"/>
        <w:rPr>
          <w:rFonts w:cs="Times New Roman"/>
          <w:color w:val="auto"/>
          <w:sz w:val="24"/>
          <w:szCs w:val="24"/>
        </w:rPr>
      </w:pPr>
    </w:p>
    <w:p>
      <w:pPr>
        <w:spacing w:line="360" w:lineRule="auto"/>
        <w:jc w:val="left"/>
        <w:rPr>
          <w:rFonts w:cs="Times New Roman"/>
          <w:color w:val="auto"/>
          <w:sz w:val="24"/>
          <w:szCs w:val="24"/>
        </w:rPr>
      </w:pPr>
    </w:p>
    <w:p>
      <w:pPr>
        <w:spacing w:line="360" w:lineRule="auto"/>
        <w:jc w:val="left"/>
        <w:rPr>
          <w:rFonts w:cs="Times New Roman"/>
          <w:color w:val="auto"/>
          <w:sz w:val="24"/>
          <w:szCs w:val="24"/>
        </w:rPr>
      </w:pPr>
    </w:p>
    <w:p>
      <w:pPr>
        <w:spacing w:line="360" w:lineRule="auto"/>
        <w:jc w:val="left"/>
        <w:rPr>
          <w:rFonts w:cs="Times New Roman"/>
          <w:color w:val="auto"/>
          <w:sz w:val="24"/>
          <w:szCs w:val="24"/>
        </w:rPr>
      </w:pPr>
    </w:p>
    <w:p>
      <w:pPr>
        <w:spacing w:line="360" w:lineRule="auto"/>
        <w:jc w:val="left"/>
        <w:rPr>
          <w:rFonts w:cs="Times New Roman"/>
          <w:color w:val="auto"/>
          <w:sz w:val="24"/>
          <w:szCs w:val="24"/>
        </w:rPr>
      </w:pPr>
    </w:p>
    <w:p>
      <w:pPr>
        <w:spacing w:line="360" w:lineRule="auto"/>
        <w:jc w:val="left"/>
        <w:rPr>
          <w:rFonts w:cs="Times New Roman"/>
          <w:color w:val="auto"/>
          <w:sz w:val="24"/>
          <w:szCs w:val="24"/>
        </w:rPr>
      </w:pPr>
    </w:p>
    <w:p>
      <w:pPr>
        <w:spacing w:line="360" w:lineRule="auto"/>
        <w:jc w:val="left"/>
        <w:rPr>
          <w:rFonts w:cs="Times New Roman"/>
          <w:color w:val="auto"/>
          <w:sz w:val="24"/>
          <w:szCs w:val="24"/>
        </w:rPr>
      </w:pPr>
    </w:p>
    <w:p>
      <w:pPr>
        <w:spacing w:line="360" w:lineRule="auto"/>
        <w:jc w:val="left"/>
        <w:rPr>
          <w:rFonts w:cs="Times New Roman"/>
          <w:color w:val="auto"/>
          <w:sz w:val="24"/>
          <w:szCs w:val="24"/>
        </w:rPr>
      </w:pPr>
    </w:p>
    <w:p>
      <w:pPr>
        <w:spacing w:line="360" w:lineRule="auto"/>
        <w:jc w:val="left"/>
        <w:rPr>
          <w:rFonts w:cs="Times New Roman"/>
          <w:color w:val="auto"/>
          <w:sz w:val="24"/>
          <w:szCs w:val="24"/>
        </w:rPr>
      </w:pPr>
    </w:p>
    <w:p>
      <w:pPr>
        <w:autoSpaceDE w:val="0"/>
        <w:autoSpaceDN w:val="0"/>
        <w:snapToGrid w:val="0"/>
        <w:ind w:firstLine="2040"/>
        <w:jc w:val="left"/>
        <w:rPr>
          <w:rFonts w:cs="Times New Roman"/>
          <w:color w:val="auto"/>
          <w:sz w:val="24"/>
          <w:szCs w:val="24"/>
          <w:u w:val="single"/>
        </w:rPr>
      </w:pPr>
    </w:p>
    <w:p>
      <w:pPr>
        <w:autoSpaceDE w:val="0"/>
        <w:autoSpaceDN w:val="0"/>
        <w:snapToGrid w:val="0"/>
        <w:ind w:firstLine="2040"/>
        <w:jc w:val="left"/>
        <w:rPr>
          <w:color w:val="auto"/>
          <w:sz w:val="24"/>
          <w:szCs w:val="24"/>
          <w:u w:val="single"/>
        </w:rPr>
      </w:pPr>
    </w:p>
    <w:p>
      <w:pPr>
        <w:autoSpaceDE w:val="0"/>
        <w:autoSpaceDN w:val="0"/>
        <w:snapToGrid w:val="0"/>
        <w:ind w:firstLine="2040"/>
        <w:jc w:val="left"/>
        <w:rPr>
          <w:rFonts w:ascii="Times New Roman" w:cs="Times New Roman"/>
          <w:color w:val="auto"/>
          <w:sz w:val="31"/>
          <w:szCs w:val="31"/>
        </w:rPr>
      </w:pPr>
      <w:r>
        <w:rPr>
          <w:rFonts w:hint="eastAsia" w:cs="宋体"/>
          <w:color w:val="auto"/>
          <w:sz w:val="31"/>
          <w:szCs w:val="31"/>
        </w:rPr>
        <w:t>省（自治区、直辖市）</w:t>
      </w:r>
    </w:p>
    <w:p>
      <w:pPr>
        <w:autoSpaceDE w:val="0"/>
        <w:autoSpaceDN w:val="0"/>
        <w:snapToGrid w:val="0"/>
        <w:ind w:firstLine="2635"/>
        <w:jc w:val="left"/>
        <w:rPr>
          <w:color w:val="auto"/>
          <w:sz w:val="31"/>
          <w:szCs w:val="31"/>
        </w:rPr>
      </w:pPr>
    </w:p>
    <w:p>
      <w:pPr>
        <w:autoSpaceDE w:val="0"/>
        <w:autoSpaceDN w:val="0"/>
        <w:snapToGrid w:val="0"/>
        <w:jc w:val="center"/>
        <w:rPr>
          <w:rFonts w:ascii="宋体" w:cs="Times New Roman"/>
          <w:color w:val="auto"/>
          <w:sz w:val="31"/>
          <w:szCs w:val="31"/>
        </w:rPr>
      </w:pPr>
      <w:r>
        <w:rPr>
          <w:rFonts w:hint="eastAsia" w:ascii="宋体" w:cs="宋体"/>
          <w:color w:val="auto"/>
          <w:sz w:val="31"/>
          <w:szCs w:val="31"/>
        </w:rPr>
        <w:t>（项目名称）标段勘察设计招标</w:t>
      </w:r>
    </w:p>
    <w:p>
      <w:pPr>
        <w:autoSpaceDE w:val="0"/>
        <w:autoSpaceDN w:val="0"/>
        <w:snapToGrid w:val="0"/>
        <w:jc w:val="center"/>
        <w:rPr>
          <w:rFonts w:cs="Times New Roman"/>
          <w:color w:val="auto"/>
          <w:sz w:val="31"/>
          <w:szCs w:val="31"/>
        </w:rPr>
      </w:pPr>
    </w:p>
    <w:p>
      <w:pPr>
        <w:autoSpaceDE w:val="0"/>
        <w:autoSpaceDN w:val="0"/>
        <w:snapToGrid w:val="0"/>
        <w:jc w:val="left"/>
        <w:rPr>
          <w:color w:val="auto"/>
          <w:sz w:val="24"/>
          <w:szCs w:val="24"/>
        </w:rPr>
      </w:pPr>
    </w:p>
    <w:p>
      <w:pPr>
        <w:autoSpaceDE w:val="0"/>
        <w:autoSpaceDN w:val="0"/>
        <w:snapToGrid w:val="0"/>
        <w:jc w:val="left"/>
        <w:rPr>
          <w:color w:val="auto"/>
          <w:sz w:val="24"/>
          <w:szCs w:val="24"/>
        </w:rPr>
      </w:pPr>
    </w:p>
    <w:p>
      <w:pPr>
        <w:autoSpaceDE w:val="0"/>
        <w:autoSpaceDN w:val="0"/>
        <w:snapToGrid w:val="0"/>
        <w:jc w:val="left"/>
        <w:rPr>
          <w:color w:val="auto"/>
          <w:sz w:val="24"/>
          <w:szCs w:val="24"/>
        </w:rPr>
      </w:pPr>
    </w:p>
    <w:p>
      <w:pPr>
        <w:autoSpaceDE w:val="0"/>
        <w:autoSpaceDN w:val="0"/>
        <w:snapToGrid w:val="0"/>
        <w:jc w:val="left"/>
        <w:rPr>
          <w:color w:val="auto"/>
          <w:sz w:val="24"/>
          <w:szCs w:val="24"/>
        </w:rPr>
      </w:pPr>
    </w:p>
    <w:p>
      <w:pPr>
        <w:autoSpaceDE w:val="0"/>
        <w:autoSpaceDN w:val="0"/>
        <w:snapToGrid w:val="0"/>
        <w:jc w:val="center"/>
        <w:rPr>
          <w:rFonts w:ascii="黑体" w:eastAsia="黑体" w:cs="黑体"/>
          <w:color w:val="auto"/>
          <w:sz w:val="50"/>
          <w:szCs w:val="50"/>
        </w:rPr>
      </w:pPr>
    </w:p>
    <w:p>
      <w:pPr>
        <w:autoSpaceDE w:val="0"/>
        <w:autoSpaceDN w:val="0"/>
        <w:snapToGrid w:val="0"/>
        <w:jc w:val="center"/>
        <w:rPr>
          <w:rFonts w:ascii="黑体" w:eastAsia="黑体" w:cs="Times New Roman"/>
          <w:color w:val="auto"/>
          <w:sz w:val="72"/>
          <w:szCs w:val="72"/>
        </w:rPr>
      </w:pPr>
      <w:r>
        <w:rPr>
          <w:rFonts w:hint="eastAsia" w:ascii="黑体" w:hAnsi="黑体" w:eastAsia="黑体" w:cs="黑体"/>
          <w:color w:val="auto"/>
          <w:sz w:val="72"/>
          <w:szCs w:val="72"/>
        </w:rPr>
        <w:t>投标文件</w:t>
      </w:r>
    </w:p>
    <w:p>
      <w:pPr>
        <w:autoSpaceDE w:val="0"/>
        <w:autoSpaceDN w:val="0"/>
        <w:snapToGrid w:val="0"/>
        <w:jc w:val="center"/>
        <w:rPr>
          <w:rFonts w:ascii="Times New Roman" w:cs="Times New Roman"/>
          <w:color w:val="auto"/>
        </w:rPr>
      </w:pPr>
    </w:p>
    <w:p>
      <w:pPr>
        <w:autoSpaceDE w:val="0"/>
        <w:autoSpaceDN w:val="0"/>
        <w:snapToGrid w:val="0"/>
        <w:jc w:val="center"/>
        <w:rPr>
          <w:rFonts w:cs="Times New Roman"/>
          <w:color w:val="auto"/>
          <w:sz w:val="32"/>
          <w:szCs w:val="32"/>
        </w:rPr>
      </w:pPr>
      <w:r>
        <w:rPr>
          <w:rFonts w:hint="eastAsia" w:ascii="黑体" w:hAnsi="黑体" w:eastAsia="黑体" w:cs="黑体"/>
          <w:color w:val="auto"/>
          <w:sz w:val="44"/>
          <w:szCs w:val="44"/>
        </w:rPr>
        <w:t>（报价文件）</w:t>
      </w:r>
    </w:p>
    <w:p>
      <w:pPr>
        <w:autoSpaceDE w:val="0"/>
        <w:autoSpaceDN w:val="0"/>
        <w:snapToGrid w:val="0"/>
        <w:jc w:val="center"/>
        <w:rPr>
          <w:color w:val="auto"/>
          <w:sz w:val="32"/>
          <w:szCs w:val="32"/>
        </w:rPr>
      </w:pPr>
    </w:p>
    <w:p>
      <w:pPr>
        <w:autoSpaceDE w:val="0"/>
        <w:autoSpaceDN w:val="0"/>
        <w:snapToGrid w:val="0"/>
        <w:jc w:val="left"/>
        <w:rPr>
          <w:rFonts w:hAnsi="Times New Roman" w:cs="Times New Roman"/>
          <w:color w:val="auto"/>
          <w:sz w:val="24"/>
          <w:szCs w:val="24"/>
        </w:rPr>
      </w:pPr>
    </w:p>
    <w:p>
      <w:pPr>
        <w:autoSpaceDE w:val="0"/>
        <w:autoSpaceDN w:val="0"/>
        <w:snapToGrid w:val="0"/>
        <w:jc w:val="left"/>
        <w:rPr>
          <w:color w:val="auto"/>
          <w:sz w:val="24"/>
          <w:szCs w:val="24"/>
        </w:rPr>
      </w:pPr>
    </w:p>
    <w:p>
      <w:pPr>
        <w:autoSpaceDE w:val="0"/>
        <w:autoSpaceDN w:val="0"/>
        <w:snapToGrid w:val="0"/>
        <w:jc w:val="left"/>
        <w:rPr>
          <w:color w:val="auto"/>
          <w:sz w:val="24"/>
          <w:szCs w:val="24"/>
        </w:rPr>
      </w:pPr>
    </w:p>
    <w:p>
      <w:pPr>
        <w:autoSpaceDE w:val="0"/>
        <w:autoSpaceDN w:val="0"/>
        <w:snapToGrid w:val="0"/>
        <w:jc w:val="left"/>
        <w:rPr>
          <w:color w:val="auto"/>
          <w:sz w:val="24"/>
          <w:szCs w:val="24"/>
        </w:rPr>
      </w:pPr>
    </w:p>
    <w:p>
      <w:pPr>
        <w:autoSpaceDE w:val="0"/>
        <w:autoSpaceDN w:val="0"/>
        <w:snapToGrid w:val="0"/>
        <w:jc w:val="left"/>
        <w:rPr>
          <w:color w:val="auto"/>
          <w:sz w:val="24"/>
          <w:szCs w:val="24"/>
        </w:rPr>
      </w:pPr>
    </w:p>
    <w:p>
      <w:pPr>
        <w:autoSpaceDE w:val="0"/>
        <w:autoSpaceDN w:val="0"/>
        <w:snapToGrid w:val="0"/>
        <w:jc w:val="left"/>
        <w:rPr>
          <w:color w:val="auto"/>
          <w:sz w:val="24"/>
          <w:szCs w:val="24"/>
        </w:rPr>
      </w:pPr>
    </w:p>
    <w:p>
      <w:pPr>
        <w:autoSpaceDE w:val="0"/>
        <w:autoSpaceDN w:val="0"/>
        <w:snapToGrid w:val="0"/>
        <w:jc w:val="left"/>
        <w:rPr>
          <w:color w:val="auto"/>
          <w:sz w:val="24"/>
          <w:szCs w:val="24"/>
        </w:rPr>
      </w:pPr>
    </w:p>
    <w:p>
      <w:pPr>
        <w:autoSpaceDE w:val="0"/>
        <w:autoSpaceDN w:val="0"/>
        <w:snapToGrid w:val="0"/>
        <w:jc w:val="left"/>
        <w:rPr>
          <w:color w:val="auto"/>
          <w:sz w:val="24"/>
          <w:szCs w:val="24"/>
        </w:rPr>
      </w:pPr>
    </w:p>
    <w:p>
      <w:pPr>
        <w:autoSpaceDE w:val="0"/>
        <w:autoSpaceDN w:val="0"/>
        <w:snapToGrid w:val="0"/>
        <w:jc w:val="left"/>
        <w:rPr>
          <w:color w:val="auto"/>
          <w:sz w:val="24"/>
          <w:szCs w:val="24"/>
        </w:rPr>
      </w:pPr>
    </w:p>
    <w:p>
      <w:pPr>
        <w:autoSpaceDE w:val="0"/>
        <w:autoSpaceDN w:val="0"/>
        <w:snapToGrid w:val="0"/>
        <w:jc w:val="left"/>
        <w:rPr>
          <w:color w:val="auto"/>
          <w:sz w:val="24"/>
          <w:szCs w:val="24"/>
        </w:rPr>
      </w:pPr>
    </w:p>
    <w:p>
      <w:pPr>
        <w:autoSpaceDE w:val="0"/>
        <w:autoSpaceDN w:val="0"/>
        <w:snapToGrid w:val="0"/>
        <w:jc w:val="left"/>
        <w:rPr>
          <w:color w:val="auto"/>
          <w:sz w:val="24"/>
          <w:szCs w:val="24"/>
        </w:rPr>
      </w:pPr>
    </w:p>
    <w:p>
      <w:pPr>
        <w:autoSpaceDE w:val="0"/>
        <w:autoSpaceDN w:val="0"/>
        <w:snapToGrid w:val="0"/>
        <w:jc w:val="left"/>
        <w:rPr>
          <w:color w:val="auto"/>
          <w:sz w:val="24"/>
          <w:szCs w:val="24"/>
        </w:rPr>
      </w:pPr>
    </w:p>
    <w:p>
      <w:pPr>
        <w:autoSpaceDE w:val="0"/>
        <w:autoSpaceDN w:val="0"/>
        <w:snapToGrid w:val="0"/>
        <w:jc w:val="left"/>
        <w:rPr>
          <w:color w:val="auto"/>
          <w:sz w:val="24"/>
          <w:szCs w:val="24"/>
        </w:rPr>
      </w:pPr>
    </w:p>
    <w:p>
      <w:pPr>
        <w:autoSpaceDE w:val="0"/>
        <w:autoSpaceDN w:val="0"/>
        <w:snapToGrid w:val="0"/>
        <w:jc w:val="left"/>
        <w:rPr>
          <w:color w:val="auto"/>
          <w:sz w:val="24"/>
          <w:szCs w:val="24"/>
        </w:rPr>
      </w:pPr>
    </w:p>
    <w:p>
      <w:pPr>
        <w:autoSpaceDE w:val="0"/>
        <w:autoSpaceDN w:val="0"/>
        <w:snapToGrid w:val="0"/>
        <w:jc w:val="left"/>
        <w:rPr>
          <w:color w:val="auto"/>
          <w:sz w:val="24"/>
          <w:szCs w:val="24"/>
        </w:rPr>
      </w:pPr>
    </w:p>
    <w:p>
      <w:pPr>
        <w:autoSpaceDE w:val="0"/>
        <w:autoSpaceDN w:val="0"/>
        <w:snapToGrid w:val="0"/>
        <w:jc w:val="left"/>
        <w:rPr>
          <w:color w:val="auto"/>
          <w:sz w:val="24"/>
          <w:szCs w:val="24"/>
        </w:rPr>
      </w:pPr>
    </w:p>
    <w:p>
      <w:pPr>
        <w:autoSpaceDE w:val="0"/>
        <w:autoSpaceDN w:val="0"/>
        <w:snapToGrid w:val="0"/>
        <w:jc w:val="left"/>
        <w:rPr>
          <w:color w:val="auto"/>
          <w:sz w:val="24"/>
          <w:szCs w:val="24"/>
        </w:rPr>
      </w:pPr>
    </w:p>
    <w:p>
      <w:pPr>
        <w:autoSpaceDE w:val="0"/>
        <w:autoSpaceDN w:val="0"/>
        <w:snapToGrid w:val="0"/>
        <w:jc w:val="left"/>
        <w:rPr>
          <w:color w:val="auto"/>
          <w:sz w:val="24"/>
          <w:szCs w:val="24"/>
        </w:rPr>
      </w:pPr>
    </w:p>
    <w:p>
      <w:pPr>
        <w:autoSpaceDE w:val="0"/>
        <w:autoSpaceDN w:val="0"/>
        <w:snapToGrid w:val="0"/>
        <w:jc w:val="left"/>
        <w:rPr>
          <w:color w:val="auto"/>
          <w:sz w:val="24"/>
          <w:szCs w:val="24"/>
        </w:rPr>
      </w:pPr>
    </w:p>
    <w:p>
      <w:pPr>
        <w:autoSpaceDE w:val="0"/>
        <w:autoSpaceDN w:val="0"/>
        <w:snapToGrid w:val="0"/>
        <w:jc w:val="center"/>
        <w:rPr>
          <w:rFonts w:ascii="Times New Roman" w:eastAsia="黑体" w:cs="Times New Roman"/>
          <w:color w:val="auto"/>
          <w:sz w:val="28"/>
          <w:szCs w:val="28"/>
          <w:u w:val="single"/>
        </w:rPr>
      </w:pPr>
      <w:r>
        <w:rPr>
          <w:rFonts w:hint="eastAsia" w:ascii="黑体" w:hAnsi="黑体" w:eastAsia="黑体" w:cs="黑体"/>
          <w:color w:val="auto"/>
          <w:sz w:val="28"/>
          <w:szCs w:val="28"/>
        </w:rPr>
        <w:t>投标人：（盖单位章）</w:t>
      </w:r>
    </w:p>
    <w:p>
      <w:pPr>
        <w:autoSpaceDE w:val="0"/>
        <w:autoSpaceDN w:val="0"/>
        <w:snapToGrid w:val="0"/>
        <w:jc w:val="center"/>
        <w:rPr>
          <w:rFonts w:eastAsia="黑体"/>
          <w:color w:val="auto"/>
          <w:sz w:val="28"/>
          <w:szCs w:val="28"/>
          <w:u w:val="single"/>
        </w:rPr>
      </w:pPr>
    </w:p>
    <w:p>
      <w:pPr>
        <w:snapToGrid w:val="0"/>
        <w:ind w:firstLine="2520"/>
        <w:rPr>
          <w:rFonts w:cs="Times New Roman"/>
          <w:color w:val="auto"/>
        </w:rPr>
      </w:pPr>
      <w:r>
        <w:rPr>
          <w:rFonts w:hint="eastAsia" w:ascii="黑体" w:hAnsi="黑体" w:eastAsia="黑体" w:cs="黑体"/>
          <w:color w:val="auto"/>
          <w:sz w:val="28"/>
          <w:szCs w:val="28"/>
        </w:rPr>
        <w:t>年月日</w:t>
      </w:r>
    </w:p>
    <w:p>
      <w:pPr>
        <w:spacing w:line="360" w:lineRule="auto"/>
        <w:jc w:val="left"/>
        <w:rPr>
          <w:rFonts w:cs="Times New Roman"/>
          <w:color w:val="auto"/>
          <w:sz w:val="24"/>
          <w:szCs w:val="24"/>
        </w:rPr>
      </w:pPr>
    </w:p>
    <w:p>
      <w:pPr>
        <w:spacing w:line="360" w:lineRule="auto"/>
        <w:jc w:val="left"/>
        <w:rPr>
          <w:rFonts w:cs="Times New Roman"/>
          <w:color w:val="auto"/>
          <w:sz w:val="24"/>
          <w:szCs w:val="24"/>
        </w:rPr>
      </w:pPr>
    </w:p>
    <w:p>
      <w:pPr>
        <w:snapToGrid w:val="0"/>
        <w:jc w:val="center"/>
        <w:rPr>
          <w:rFonts w:cs="Times New Roman"/>
          <w:b/>
          <w:bCs/>
          <w:color w:val="auto"/>
          <w:sz w:val="32"/>
          <w:szCs w:val="32"/>
        </w:rPr>
      </w:pPr>
      <w:r>
        <w:rPr>
          <w:rFonts w:cs="Times New Roman"/>
          <w:b/>
          <w:bCs/>
          <w:color w:val="auto"/>
          <w:sz w:val="32"/>
          <w:szCs w:val="32"/>
        </w:rPr>
        <w:br w:type="page"/>
      </w:r>
      <w:r>
        <w:rPr>
          <w:rFonts w:hint="eastAsia" w:cs="宋体"/>
          <w:b/>
          <w:bCs/>
          <w:color w:val="auto"/>
          <w:sz w:val="32"/>
          <w:szCs w:val="32"/>
        </w:rPr>
        <w:t>目录</w:t>
      </w:r>
    </w:p>
    <w:p>
      <w:pPr>
        <w:snapToGrid w:val="0"/>
        <w:jc w:val="center"/>
        <w:rPr>
          <w:rFonts w:ascii="Times New Roman" w:hAnsi="Times New Roman" w:cs="Times New Roman"/>
          <w:b/>
          <w:bCs/>
          <w:color w:val="auto"/>
          <w:sz w:val="30"/>
          <w:szCs w:val="30"/>
        </w:rPr>
      </w:pPr>
    </w:p>
    <w:p>
      <w:pPr>
        <w:snapToGrid w:val="0"/>
        <w:jc w:val="center"/>
        <w:rPr>
          <w:b/>
          <w:bCs/>
          <w:color w:val="auto"/>
          <w:sz w:val="30"/>
          <w:szCs w:val="30"/>
        </w:rPr>
      </w:pPr>
    </w:p>
    <w:p>
      <w:pPr>
        <w:snapToGrid w:val="0"/>
        <w:jc w:val="center"/>
        <w:rPr>
          <w:b/>
          <w:bCs/>
          <w:color w:val="auto"/>
          <w:sz w:val="30"/>
          <w:szCs w:val="30"/>
        </w:rPr>
      </w:pPr>
    </w:p>
    <w:p>
      <w:pPr>
        <w:snapToGrid w:val="0"/>
        <w:jc w:val="center"/>
        <w:rPr>
          <w:b/>
          <w:bCs/>
          <w:color w:val="auto"/>
          <w:sz w:val="30"/>
          <w:szCs w:val="30"/>
        </w:rPr>
      </w:pPr>
    </w:p>
    <w:p>
      <w:pPr>
        <w:snapToGrid w:val="0"/>
        <w:spacing w:line="360" w:lineRule="auto"/>
        <w:ind w:firstLine="480" w:firstLineChars="200"/>
        <w:jc w:val="left"/>
        <w:rPr>
          <w:rFonts w:cs="Times New Roman"/>
          <w:color w:val="auto"/>
          <w:sz w:val="24"/>
          <w:szCs w:val="24"/>
        </w:rPr>
      </w:pPr>
      <w:r>
        <w:rPr>
          <w:rFonts w:hint="eastAsia" w:cs="宋体"/>
          <w:color w:val="auto"/>
          <w:sz w:val="24"/>
          <w:szCs w:val="24"/>
        </w:rPr>
        <w:t>一、投标函</w:t>
      </w:r>
    </w:p>
    <w:p>
      <w:pPr>
        <w:snapToGrid w:val="0"/>
        <w:spacing w:line="360" w:lineRule="auto"/>
        <w:ind w:firstLine="480" w:firstLineChars="200"/>
        <w:jc w:val="left"/>
        <w:rPr>
          <w:color w:val="auto"/>
          <w:sz w:val="24"/>
          <w:szCs w:val="24"/>
        </w:rPr>
      </w:pPr>
    </w:p>
    <w:p>
      <w:pPr>
        <w:snapToGrid w:val="0"/>
        <w:spacing w:line="360" w:lineRule="auto"/>
        <w:ind w:firstLine="480" w:firstLineChars="200"/>
        <w:jc w:val="left"/>
        <w:rPr>
          <w:rFonts w:cs="Times New Roman"/>
          <w:color w:val="auto"/>
          <w:sz w:val="24"/>
          <w:szCs w:val="24"/>
        </w:rPr>
      </w:pPr>
      <w:r>
        <w:rPr>
          <w:rFonts w:hint="eastAsia" w:cs="宋体"/>
          <w:color w:val="auto"/>
          <w:sz w:val="24"/>
          <w:szCs w:val="24"/>
        </w:rPr>
        <w:t>二、勘察费用清单</w:t>
      </w:r>
    </w:p>
    <w:p>
      <w:pPr>
        <w:spacing w:line="360" w:lineRule="auto"/>
        <w:jc w:val="left"/>
        <w:rPr>
          <w:rFonts w:cs="Times New Roman"/>
          <w:color w:val="auto"/>
          <w:sz w:val="24"/>
          <w:szCs w:val="24"/>
        </w:rPr>
      </w:pPr>
    </w:p>
    <w:p>
      <w:pPr>
        <w:spacing w:line="360" w:lineRule="auto"/>
        <w:jc w:val="left"/>
        <w:rPr>
          <w:rFonts w:cs="Times New Roman"/>
          <w:color w:val="auto"/>
          <w:sz w:val="24"/>
          <w:szCs w:val="24"/>
        </w:rPr>
      </w:pPr>
    </w:p>
    <w:p>
      <w:pPr>
        <w:spacing w:line="360" w:lineRule="auto"/>
        <w:jc w:val="left"/>
        <w:rPr>
          <w:rFonts w:cs="Times New Roman"/>
          <w:color w:val="auto"/>
          <w:sz w:val="24"/>
          <w:szCs w:val="24"/>
        </w:rPr>
      </w:pPr>
    </w:p>
    <w:p>
      <w:pPr>
        <w:spacing w:line="360" w:lineRule="auto"/>
        <w:jc w:val="left"/>
        <w:rPr>
          <w:rFonts w:cs="Times New Roman"/>
          <w:color w:val="auto"/>
          <w:sz w:val="24"/>
          <w:szCs w:val="24"/>
        </w:rPr>
      </w:pPr>
    </w:p>
    <w:p>
      <w:pPr>
        <w:spacing w:line="360" w:lineRule="auto"/>
        <w:jc w:val="left"/>
        <w:rPr>
          <w:rFonts w:cs="Times New Roman"/>
          <w:color w:val="auto"/>
          <w:sz w:val="24"/>
          <w:szCs w:val="24"/>
        </w:rPr>
      </w:pPr>
    </w:p>
    <w:p>
      <w:pPr>
        <w:spacing w:line="360" w:lineRule="auto"/>
        <w:jc w:val="left"/>
        <w:rPr>
          <w:rFonts w:cs="Times New Roman"/>
          <w:color w:val="auto"/>
          <w:sz w:val="24"/>
          <w:szCs w:val="24"/>
        </w:rPr>
      </w:pPr>
    </w:p>
    <w:p>
      <w:pPr>
        <w:spacing w:line="360" w:lineRule="auto"/>
        <w:jc w:val="right"/>
        <w:rPr>
          <w:rFonts w:ascii="黑体" w:hAnsi="黑体" w:eastAsia="黑体" w:cs="Times New Roman"/>
          <w:b/>
          <w:bCs/>
          <w:color w:val="auto"/>
          <w:sz w:val="30"/>
          <w:szCs w:val="30"/>
        </w:rPr>
      </w:pPr>
    </w:p>
    <w:p>
      <w:pPr>
        <w:spacing w:line="360" w:lineRule="auto"/>
        <w:jc w:val="right"/>
        <w:rPr>
          <w:rFonts w:ascii="黑体" w:hAnsi="黑体" w:eastAsia="黑体" w:cs="Times New Roman"/>
          <w:b/>
          <w:bCs/>
          <w:color w:val="auto"/>
          <w:sz w:val="30"/>
          <w:szCs w:val="30"/>
        </w:rPr>
      </w:pPr>
    </w:p>
    <w:p>
      <w:pPr>
        <w:spacing w:line="360" w:lineRule="auto"/>
        <w:jc w:val="right"/>
        <w:rPr>
          <w:rFonts w:ascii="黑体" w:hAnsi="黑体" w:eastAsia="黑体" w:cs="Times New Roman"/>
          <w:b/>
          <w:bCs/>
          <w:color w:val="auto"/>
          <w:sz w:val="30"/>
          <w:szCs w:val="30"/>
        </w:rPr>
      </w:pPr>
    </w:p>
    <w:p>
      <w:pPr>
        <w:spacing w:line="360" w:lineRule="auto"/>
        <w:jc w:val="right"/>
        <w:rPr>
          <w:rFonts w:ascii="黑体" w:hAnsi="黑体" w:eastAsia="黑体" w:cs="Times New Roman"/>
          <w:b/>
          <w:bCs/>
          <w:color w:val="auto"/>
          <w:sz w:val="30"/>
          <w:szCs w:val="30"/>
        </w:rPr>
      </w:pPr>
    </w:p>
    <w:p>
      <w:pPr>
        <w:spacing w:line="360" w:lineRule="auto"/>
        <w:jc w:val="right"/>
        <w:rPr>
          <w:rFonts w:ascii="黑体" w:hAnsi="黑体" w:eastAsia="黑体" w:cs="Times New Roman"/>
          <w:b/>
          <w:bCs/>
          <w:color w:val="auto"/>
          <w:sz w:val="30"/>
          <w:szCs w:val="30"/>
        </w:rPr>
      </w:pPr>
    </w:p>
    <w:p>
      <w:pPr>
        <w:spacing w:line="360" w:lineRule="auto"/>
        <w:jc w:val="right"/>
        <w:rPr>
          <w:rFonts w:ascii="黑体" w:hAnsi="黑体" w:eastAsia="黑体" w:cs="Times New Roman"/>
          <w:b/>
          <w:bCs/>
          <w:color w:val="auto"/>
          <w:sz w:val="30"/>
          <w:szCs w:val="30"/>
        </w:rPr>
      </w:pPr>
    </w:p>
    <w:p>
      <w:pPr>
        <w:spacing w:line="360" w:lineRule="auto"/>
        <w:jc w:val="right"/>
        <w:rPr>
          <w:rFonts w:ascii="黑体" w:hAnsi="黑体" w:eastAsia="黑体" w:cs="Times New Roman"/>
          <w:b/>
          <w:bCs/>
          <w:color w:val="auto"/>
          <w:sz w:val="30"/>
          <w:szCs w:val="30"/>
        </w:rPr>
      </w:pPr>
    </w:p>
    <w:p>
      <w:pPr>
        <w:spacing w:line="360" w:lineRule="auto"/>
        <w:jc w:val="right"/>
        <w:rPr>
          <w:rFonts w:ascii="黑体" w:hAnsi="黑体" w:eastAsia="黑体" w:cs="Times New Roman"/>
          <w:b/>
          <w:bCs/>
          <w:color w:val="auto"/>
          <w:sz w:val="30"/>
          <w:szCs w:val="30"/>
        </w:rPr>
      </w:pPr>
    </w:p>
    <w:p>
      <w:pPr>
        <w:spacing w:line="360" w:lineRule="auto"/>
        <w:jc w:val="right"/>
        <w:rPr>
          <w:rFonts w:cs="Times New Roman"/>
          <w:color w:val="auto"/>
          <w:sz w:val="24"/>
          <w:szCs w:val="24"/>
          <w:u w:val="single"/>
        </w:rPr>
      </w:pPr>
    </w:p>
    <w:p>
      <w:pPr>
        <w:spacing w:line="360" w:lineRule="auto"/>
        <w:jc w:val="right"/>
        <w:rPr>
          <w:rFonts w:cs="Times New Roman"/>
          <w:color w:val="auto"/>
          <w:sz w:val="24"/>
          <w:szCs w:val="24"/>
          <w:u w:val="single"/>
        </w:rPr>
      </w:pPr>
    </w:p>
    <w:p>
      <w:pPr>
        <w:spacing w:line="360" w:lineRule="auto"/>
        <w:jc w:val="right"/>
        <w:rPr>
          <w:rFonts w:cs="Times New Roman"/>
          <w:color w:val="auto"/>
          <w:sz w:val="24"/>
          <w:szCs w:val="24"/>
          <w:u w:val="single"/>
        </w:rPr>
      </w:pPr>
    </w:p>
    <w:p>
      <w:pPr>
        <w:spacing w:line="360" w:lineRule="auto"/>
        <w:jc w:val="right"/>
        <w:rPr>
          <w:rFonts w:cs="Times New Roman"/>
          <w:color w:val="auto"/>
          <w:sz w:val="24"/>
          <w:szCs w:val="24"/>
          <w:u w:val="single"/>
        </w:rPr>
      </w:pPr>
    </w:p>
    <w:p>
      <w:pPr>
        <w:spacing w:line="360" w:lineRule="auto"/>
        <w:jc w:val="right"/>
        <w:rPr>
          <w:rFonts w:cs="Times New Roman"/>
          <w:color w:val="auto"/>
          <w:sz w:val="24"/>
          <w:szCs w:val="24"/>
          <w:u w:val="single"/>
        </w:rPr>
      </w:pPr>
    </w:p>
    <w:p>
      <w:pPr>
        <w:spacing w:line="360" w:lineRule="auto"/>
        <w:jc w:val="right"/>
        <w:rPr>
          <w:rFonts w:cs="Times New Roman"/>
          <w:color w:val="auto"/>
          <w:sz w:val="24"/>
          <w:szCs w:val="24"/>
          <w:u w:val="single"/>
        </w:rPr>
      </w:pPr>
    </w:p>
    <w:p>
      <w:pPr>
        <w:spacing w:line="360" w:lineRule="auto"/>
        <w:jc w:val="right"/>
        <w:rPr>
          <w:rFonts w:cs="Times New Roman"/>
          <w:color w:val="auto"/>
          <w:sz w:val="24"/>
          <w:szCs w:val="24"/>
          <w:u w:val="single"/>
        </w:rPr>
      </w:pPr>
    </w:p>
    <w:p>
      <w:pPr>
        <w:spacing w:line="360" w:lineRule="auto"/>
        <w:jc w:val="right"/>
        <w:rPr>
          <w:rFonts w:cs="Times New Roman"/>
          <w:color w:val="auto"/>
          <w:sz w:val="24"/>
          <w:szCs w:val="24"/>
          <w:u w:val="single"/>
        </w:rPr>
      </w:pPr>
    </w:p>
    <w:p>
      <w:pPr>
        <w:snapToGrid w:val="0"/>
        <w:spacing w:line="360" w:lineRule="auto"/>
        <w:jc w:val="center"/>
        <w:rPr>
          <w:rFonts w:ascii="黑体" w:hAnsi="黑体" w:eastAsia="黑体" w:cs="Times New Roman"/>
          <w:b/>
          <w:bCs/>
          <w:color w:val="auto"/>
          <w:sz w:val="30"/>
          <w:szCs w:val="30"/>
        </w:rPr>
      </w:pPr>
      <w:r>
        <w:rPr>
          <w:rFonts w:hint="eastAsia" w:ascii="黑体" w:hAnsi="黑体" w:eastAsia="黑体" w:cs="黑体"/>
          <w:b/>
          <w:bCs/>
          <w:color w:val="auto"/>
          <w:sz w:val="30"/>
          <w:szCs w:val="30"/>
        </w:rPr>
        <w:t>一、投标函</w:t>
      </w:r>
    </w:p>
    <w:p>
      <w:pPr>
        <w:snapToGrid w:val="0"/>
        <w:spacing w:line="360" w:lineRule="auto"/>
        <w:jc w:val="center"/>
        <w:rPr>
          <w:rFonts w:ascii="黑体" w:hAnsi="黑体" w:eastAsia="黑体" w:cs="黑体"/>
          <w:color w:val="auto"/>
          <w:sz w:val="30"/>
          <w:szCs w:val="30"/>
        </w:rPr>
      </w:pPr>
    </w:p>
    <w:p>
      <w:pPr>
        <w:snapToGrid w:val="0"/>
        <w:spacing w:line="360" w:lineRule="auto"/>
        <w:rPr>
          <w:rFonts w:ascii="Times New Roman" w:hAnsi="Times New Roman" w:cs="Times New Roman"/>
          <w:color w:val="auto"/>
          <w:sz w:val="24"/>
          <w:szCs w:val="24"/>
        </w:rPr>
      </w:pPr>
      <w:r>
        <w:rPr>
          <w:color w:val="auto"/>
          <w:sz w:val="24"/>
          <w:szCs w:val="24"/>
        </w:rPr>
        <w:t>(</w:t>
      </w:r>
      <w:r>
        <w:rPr>
          <w:rFonts w:hint="eastAsia" w:cs="宋体"/>
          <w:color w:val="auto"/>
          <w:sz w:val="24"/>
          <w:szCs w:val="24"/>
        </w:rPr>
        <w:t>招标人名称</w:t>
      </w:r>
      <w:r>
        <w:rPr>
          <w:color w:val="auto"/>
          <w:sz w:val="24"/>
          <w:szCs w:val="24"/>
        </w:rPr>
        <w:t>)</w:t>
      </w:r>
    </w:p>
    <w:p>
      <w:pPr>
        <w:snapToGrid w:val="0"/>
        <w:spacing w:line="360" w:lineRule="auto"/>
        <w:rPr>
          <w:color w:val="auto"/>
          <w:sz w:val="24"/>
          <w:szCs w:val="24"/>
        </w:rPr>
      </w:pPr>
    </w:p>
    <w:p>
      <w:pPr>
        <w:snapToGrid w:val="0"/>
        <w:spacing w:line="360" w:lineRule="auto"/>
        <w:ind w:firstLine="480"/>
        <w:rPr>
          <w:rFonts w:cs="Times New Roman"/>
          <w:color w:val="auto"/>
          <w:sz w:val="24"/>
          <w:szCs w:val="24"/>
        </w:rPr>
      </w:pPr>
      <w:r>
        <w:rPr>
          <w:color w:val="auto"/>
          <w:sz w:val="24"/>
          <w:szCs w:val="24"/>
        </w:rPr>
        <w:t>1.</w:t>
      </w:r>
      <w:r>
        <w:rPr>
          <w:rFonts w:hint="eastAsia" w:cs="宋体"/>
          <w:color w:val="auto"/>
          <w:sz w:val="24"/>
          <w:szCs w:val="24"/>
        </w:rPr>
        <w:t>我方己仔细研究</w:t>
      </w:r>
      <w:r>
        <w:rPr>
          <w:color w:val="auto"/>
          <w:sz w:val="24"/>
          <w:szCs w:val="24"/>
        </w:rPr>
        <w:t xml:space="preserve"> (</w:t>
      </w:r>
      <w:r>
        <w:rPr>
          <w:rFonts w:hint="eastAsia" w:cs="宋体"/>
          <w:color w:val="auto"/>
          <w:sz w:val="24"/>
          <w:szCs w:val="24"/>
        </w:rPr>
        <w:t>项目名称）</w:t>
      </w:r>
      <w:r>
        <w:rPr>
          <w:rFonts w:hint="eastAsia" w:ascii="宋体" w:cs="宋体"/>
          <w:color w:val="auto"/>
          <w:sz w:val="24"/>
          <w:szCs w:val="24"/>
        </w:rPr>
        <w:t>标段勘察</w:t>
      </w:r>
      <w:r>
        <w:rPr>
          <w:rFonts w:hint="eastAsia" w:cs="宋体"/>
          <w:color w:val="auto"/>
          <w:sz w:val="24"/>
          <w:szCs w:val="24"/>
        </w:rPr>
        <w:t>招标文件的全部内容（含补遗书第号至第号），在考察工程现场后，愿意以元 的投标总报价（或根据招标文件规定修正核实后确定的另一金额，其中，增值税税率为</w:t>
      </w:r>
      <w:r>
        <w:rPr>
          <w:color w:val="auto"/>
          <w:sz w:val="24"/>
          <w:szCs w:val="24"/>
        </w:rPr>
        <w:t>%)</w:t>
      </w:r>
      <w:r>
        <w:rPr>
          <w:rFonts w:hint="eastAsia"/>
          <w:color w:val="auto"/>
          <w:sz w:val="24"/>
          <w:szCs w:val="24"/>
        </w:rPr>
        <w:t>费率为</w:t>
      </w:r>
      <w:r>
        <w:rPr>
          <w:color w:val="auto"/>
          <w:sz w:val="24"/>
          <w:szCs w:val="24"/>
        </w:rPr>
        <w:t>%</w:t>
      </w:r>
      <w:r>
        <w:rPr>
          <w:rFonts w:hint="eastAsia"/>
          <w:color w:val="auto"/>
          <w:sz w:val="24"/>
          <w:szCs w:val="24"/>
        </w:rPr>
        <w:t>（投标报价与标段投资估算中建安费的比值）</w:t>
      </w:r>
      <w:r>
        <w:rPr>
          <w:rFonts w:hint="eastAsia" w:cs="宋体"/>
          <w:color w:val="auto"/>
          <w:sz w:val="24"/>
          <w:szCs w:val="24"/>
        </w:rPr>
        <w:t>，按合同约定完成勘察工作。</w:t>
      </w:r>
    </w:p>
    <w:p>
      <w:pPr>
        <w:snapToGrid w:val="0"/>
        <w:spacing w:line="360" w:lineRule="auto"/>
        <w:ind w:firstLine="480"/>
        <w:rPr>
          <w:rFonts w:cs="Times New Roman"/>
          <w:color w:val="auto"/>
          <w:sz w:val="24"/>
          <w:szCs w:val="24"/>
        </w:rPr>
      </w:pPr>
      <w:r>
        <w:rPr>
          <w:color w:val="auto"/>
          <w:sz w:val="24"/>
          <w:szCs w:val="24"/>
        </w:rPr>
        <w:t>2.</w:t>
      </w:r>
      <w:r>
        <w:rPr>
          <w:rFonts w:hint="eastAsia" w:cs="宋体"/>
          <w:color w:val="auto"/>
          <w:sz w:val="24"/>
          <w:szCs w:val="24"/>
        </w:rPr>
        <w:t>在合同协议书正式签署生效之前，本投标函连同你方的中标通知书将构成我们双方之间共同遵守的文件，对双方具有约束力。</w:t>
      </w:r>
    </w:p>
    <w:p>
      <w:pPr>
        <w:snapToGrid w:val="0"/>
        <w:spacing w:line="360" w:lineRule="auto"/>
        <w:ind w:firstLine="480"/>
        <w:rPr>
          <w:rFonts w:cs="Times New Roman"/>
          <w:color w:val="auto"/>
          <w:sz w:val="24"/>
          <w:szCs w:val="24"/>
        </w:rPr>
      </w:pPr>
      <w:r>
        <w:rPr>
          <w:color w:val="auto"/>
          <w:sz w:val="24"/>
          <w:szCs w:val="24"/>
        </w:rPr>
        <w:t>3.(</w:t>
      </w:r>
      <w:r>
        <w:rPr>
          <w:rFonts w:hint="eastAsia" w:cs="宋体"/>
          <w:color w:val="auto"/>
          <w:sz w:val="24"/>
          <w:szCs w:val="24"/>
        </w:rPr>
        <w:t>其他补充说明）。</w:t>
      </w:r>
    </w:p>
    <w:p>
      <w:pPr>
        <w:snapToGrid w:val="0"/>
        <w:spacing w:line="360" w:lineRule="auto"/>
        <w:ind w:firstLine="480"/>
        <w:rPr>
          <w:color w:val="auto"/>
          <w:sz w:val="24"/>
          <w:szCs w:val="24"/>
        </w:rPr>
      </w:pPr>
    </w:p>
    <w:p>
      <w:pPr>
        <w:snapToGrid w:val="0"/>
        <w:spacing w:line="360" w:lineRule="auto"/>
        <w:ind w:firstLine="3000"/>
        <w:rPr>
          <w:rFonts w:cs="Times New Roman"/>
          <w:color w:val="auto"/>
          <w:sz w:val="24"/>
          <w:szCs w:val="24"/>
        </w:rPr>
      </w:pPr>
      <w:r>
        <w:rPr>
          <w:rFonts w:hint="eastAsia" w:cs="宋体"/>
          <w:color w:val="auto"/>
          <w:sz w:val="24"/>
          <w:szCs w:val="24"/>
        </w:rPr>
        <w:t>投标人：（盖单位章）</w:t>
      </w:r>
    </w:p>
    <w:p>
      <w:pPr>
        <w:snapToGrid w:val="0"/>
        <w:spacing w:line="360" w:lineRule="auto"/>
        <w:ind w:firstLine="3000"/>
        <w:rPr>
          <w:rFonts w:cs="Times New Roman"/>
          <w:color w:val="auto"/>
          <w:sz w:val="24"/>
          <w:szCs w:val="24"/>
        </w:rPr>
      </w:pPr>
      <w:r>
        <w:rPr>
          <w:rFonts w:hint="eastAsia" w:cs="宋体"/>
          <w:color w:val="auto"/>
          <w:sz w:val="24"/>
          <w:szCs w:val="24"/>
        </w:rPr>
        <w:t>法定代表人或其委托代理人：（签字）</w:t>
      </w:r>
    </w:p>
    <w:p>
      <w:pPr>
        <w:snapToGrid w:val="0"/>
        <w:spacing w:line="360" w:lineRule="auto"/>
        <w:ind w:firstLine="3000"/>
        <w:rPr>
          <w:rFonts w:cs="Times New Roman"/>
          <w:color w:val="auto"/>
          <w:sz w:val="24"/>
          <w:szCs w:val="24"/>
        </w:rPr>
      </w:pPr>
      <w:r>
        <w:rPr>
          <w:rFonts w:hint="eastAsia" w:cs="宋体"/>
          <w:color w:val="auto"/>
          <w:sz w:val="24"/>
          <w:szCs w:val="24"/>
        </w:rPr>
        <w:t>地址：</w:t>
      </w:r>
      <w:r>
        <w:rPr>
          <w:color w:val="auto"/>
          <w:u w:val="single"/>
        </w:rPr>
        <w:t>..</w:t>
      </w:r>
    </w:p>
    <w:p>
      <w:pPr>
        <w:snapToGrid w:val="0"/>
        <w:spacing w:line="360" w:lineRule="auto"/>
        <w:ind w:firstLine="3000"/>
        <w:rPr>
          <w:rFonts w:cs="Times New Roman"/>
          <w:color w:val="auto"/>
          <w:sz w:val="24"/>
          <w:szCs w:val="24"/>
        </w:rPr>
      </w:pPr>
      <w:r>
        <w:rPr>
          <w:rFonts w:hint="eastAsia" w:cs="宋体"/>
          <w:color w:val="auto"/>
          <w:sz w:val="24"/>
          <w:szCs w:val="24"/>
        </w:rPr>
        <w:t>网址：</w:t>
      </w:r>
      <w:r>
        <w:rPr>
          <w:color w:val="auto"/>
          <w:u w:val="single"/>
        </w:rPr>
        <w:t>..</w:t>
      </w:r>
    </w:p>
    <w:p>
      <w:pPr>
        <w:snapToGrid w:val="0"/>
        <w:spacing w:line="360" w:lineRule="auto"/>
        <w:ind w:firstLine="3000"/>
        <w:rPr>
          <w:rFonts w:cs="Times New Roman"/>
          <w:color w:val="auto"/>
          <w:sz w:val="24"/>
          <w:szCs w:val="24"/>
        </w:rPr>
      </w:pPr>
      <w:r>
        <w:rPr>
          <w:rFonts w:hint="eastAsia" w:cs="宋体"/>
          <w:color w:val="auto"/>
          <w:sz w:val="24"/>
          <w:szCs w:val="24"/>
        </w:rPr>
        <w:t>电话：</w:t>
      </w:r>
      <w:r>
        <w:rPr>
          <w:color w:val="auto"/>
          <w:u w:val="single"/>
        </w:rPr>
        <w:t>..</w:t>
      </w:r>
    </w:p>
    <w:p>
      <w:pPr>
        <w:snapToGrid w:val="0"/>
        <w:spacing w:line="360" w:lineRule="auto"/>
        <w:ind w:firstLine="3000"/>
        <w:rPr>
          <w:rFonts w:cs="Times New Roman"/>
          <w:color w:val="auto"/>
          <w:sz w:val="24"/>
          <w:szCs w:val="24"/>
        </w:rPr>
      </w:pPr>
      <w:r>
        <w:rPr>
          <w:rFonts w:hint="eastAsia" w:cs="宋体"/>
          <w:color w:val="auto"/>
          <w:sz w:val="24"/>
          <w:szCs w:val="24"/>
        </w:rPr>
        <w:t>传真：</w:t>
      </w:r>
      <w:r>
        <w:rPr>
          <w:color w:val="auto"/>
          <w:u w:val="single"/>
        </w:rPr>
        <w:t>..</w:t>
      </w:r>
    </w:p>
    <w:p>
      <w:pPr>
        <w:snapToGrid w:val="0"/>
        <w:spacing w:line="360" w:lineRule="auto"/>
        <w:ind w:firstLine="3000"/>
        <w:rPr>
          <w:rFonts w:cs="Times New Roman"/>
          <w:color w:val="auto"/>
          <w:sz w:val="24"/>
          <w:szCs w:val="24"/>
        </w:rPr>
      </w:pPr>
      <w:r>
        <w:rPr>
          <w:rFonts w:hint="eastAsia" w:cs="宋体"/>
          <w:color w:val="auto"/>
          <w:sz w:val="24"/>
          <w:szCs w:val="24"/>
        </w:rPr>
        <w:t>邮政编码：</w:t>
      </w:r>
      <w:r>
        <w:rPr>
          <w:color w:val="auto"/>
          <w:u w:val="single"/>
        </w:rPr>
        <w:t>..</w:t>
      </w:r>
    </w:p>
    <w:p>
      <w:pPr>
        <w:snapToGrid w:val="0"/>
        <w:spacing w:line="360" w:lineRule="auto"/>
        <w:ind w:firstLine="3000"/>
        <w:rPr>
          <w:color w:val="auto"/>
          <w:sz w:val="24"/>
          <w:szCs w:val="24"/>
        </w:rPr>
      </w:pPr>
    </w:p>
    <w:p>
      <w:pPr>
        <w:snapToGrid w:val="0"/>
        <w:spacing w:line="360" w:lineRule="auto"/>
        <w:jc w:val="right"/>
        <w:rPr>
          <w:rFonts w:cs="Times New Roman"/>
          <w:color w:val="auto"/>
          <w:sz w:val="24"/>
          <w:szCs w:val="24"/>
          <w:u w:val="single"/>
        </w:rPr>
      </w:pPr>
      <w:r>
        <w:rPr>
          <w:rFonts w:hint="eastAsia" w:cs="宋体"/>
          <w:color w:val="auto"/>
          <w:sz w:val="24"/>
          <w:szCs w:val="24"/>
        </w:rPr>
        <w:t>年月日</w:t>
      </w:r>
    </w:p>
    <w:p>
      <w:pPr>
        <w:snapToGrid w:val="0"/>
        <w:spacing w:line="360" w:lineRule="auto"/>
        <w:jc w:val="right"/>
        <w:rPr>
          <w:color w:val="auto"/>
          <w:sz w:val="24"/>
          <w:szCs w:val="24"/>
          <w:u w:val="single"/>
        </w:rPr>
      </w:pPr>
    </w:p>
    <w:p>
      <w:pPr>
        <w:snapToGrid w:val="0"/>
        <w:spacing w:line="360" w:lineRule="auto"/>
        <w:jc w:val="right"/>
        <w:rPr>
          <w:color w:val="auto"/>
          <w:sz w:val="24"/>
          <w:szCs w:val="24"/>
          <w:u w:val="single"/>
        </w:rPr>
      </w:pPr>
    </w:p>
    <w:p>
      <w:pPr>
        <w:spacing w:line="360" w:lineRule="auto"/>
        <w:jc w:val="left"/>
        <w:rPr>
          <w:rFonts w:cs="Times New Roman"/>
          <w:color w:val="auto"/>
        </w:rPr>
      </w:pPr>
      <w:r>
        <w:rPr>
          <w:rFonts w:hint="eastAsia" w:cs="宋体"/>
          <w:color w:val="auto"/>
        </w:rPr>
        <w:t>注：投标人仅须在投标函上加盖单位章，或由法定代表人或其委托代理人签字。</w:t>
      </w:r>
    </w:p>
    <w:p>
      <w:pPr>
        <w:spacing w:line="360" w:lineRule="auto"/>
        <w:jc w:val="center"/>
        <w:rPr>
          <w:rFonts w:ascii="黑体" w:hAnsi="黑体" w:eastAsia="黑体" w:cs="Times New Roman"/>
          <w:b/>
          <w:bCs/>
          <w:color w:val="auto"/>
          <w:sz w:val="30"/>
          <w:szCs w:val="30"/>
        </w:rPr>
      </w:pPr>
    </w:p>
    <w:p>
      <w:pPr>
        <w:spacing w:line="360" w:lineRule="auto"/>
        <w:jc w:val="center"/>
        <w:rPr>
          <w:rFonts w:ascii="黑体" w:hAnsi="黑体" w:eastAsia="黑体" w:cs="Times New Roman"/>
          <w:b/>
          <w:bCs/>
          <w:color w:val="auto"/>
          <w:sz w:val="30"/>
          <w:szCs w:val="30"/>
        </w:rPr>
      </w:pPr>
    </w:p>
    <w:p>
      <w:pPr>
        <w:spacing w:line="360" w:lineRule="auto"/>
        <w:jc w:val="center"/>
        <w:rPr>
          <w:rFonts w:ascii="黑体" w:hAnsi="黑体" w:eastAsia="黑体" w:cs="Times New Roman"/>
          <w:b/>
          <w:bCs/>
          <w:color w:val="auto"/>
          <w:sz w:val="30"/>
          <w:szCs w:val="30"/>
        </w:rPr>
      </w:pPr>
    </w:p>
    <w:p>
      <w:pPr>
        <w:spacing w:line="360" w:lineRule="auto"/>
        <w:jc w:val="center"/>
        <w:rPr>
          <w:rFonts w:ascii="黑体" w:hAnsi="黑体" w:eastAsia="黑体" w:cs="Times New Roman"/>
          <w:b/>
          <w:bCs/>
          <w:color w:val="auto"/>
          <w:sz w:val="30"/>
          <w:szCs w:val="30"/>
        </w:rPr>
      </w:pPr>
    </w:p>
    <w:p>
      <w:pPr>
        <w:spacing w:line="360" w:lineRule="auto"/>
        <w:jc w:val="right"/>
        <w:rPr>
          <w:rFonts w:ascii="Times New Roman" w:hAnsi="Times New Roman" w:cs="Times New Roman"/>
          <w:color w:val="auto"/>
          <w:sz w:val="24"/>
          <w:szCs w:val="24"/>
          <w:u w:val="single"/>
        </w:rPr>
      </w:pPr>
    </w:p>
    <w:p>
      <w:pPr>
        <w:snapToGrid w:val="0"/>
        <w:spacing w:line="600" w:lineRule="auto"/>
        <w:jc w:val="center"/>
        <w:rPr>
          <w:rFonts w:ascii="黑体" w:hAnsi="黑体" w:eastAsia="黑体" w:cs="Times New Roman"/>
          <w:b/>
          <w:bCs/>
          <w:color w:val="auto"/>
          <w:sz w:val="30"/>
          <w:szCs w:val="30"/>
        </w:rPr>
      </w:pPr>
      <w:r>
        <w:rPr>
          <w:rFonts w:hint="eastAsia" w:ascii="黑体" w:hAnsi="黑体" w:eastAsia="黑体" w:cs="黑体"/>
          <w:b/>
          <w:bCs/>
          <w:color w:val="auto"/>
          <w:sz w:val="30"/>
          <w:szCs w:val="30"/>
        </w:rPr>
        <w:t>二、勘察设计费用清单</w:t>
      </w:r>
    </w:p>
    <w:p>
      <w:pPr>
        <w:snapToGrid w:val="0"/>
        <w:spacing w:line="600" w:lineRule="auto"/>
        <w:jc w:val="center"/>
        <w:rPr>
          <w:rFonts w:ascii="黑体" w:hAnsi="黑体" w:eastAsia="黑体" w:cs="Times New Roman"/>
          <w:color w:val="auto"/>
          <w:sz w:val="28"/>
          <w:szCs w:val="28"/>
        </w:rPr>
      </w:pPr>
      <w:r>
        <w:rPr>
          <w:rFonts w:hint="eastAsia" w:ascii="黑体" w:hAnsi="黑体" w:eastAsia="黑体" w:cs="黑体"/>
          <w:color w:val="auto"/>
          <w:sz w:val="28"/>
          <w:szCs w:val="28"/>
        </w:rPr>
        <w:t>（一）报价清单说明</w:t>
      </w:r>
    </w:p>
    <w:p>
      <w:pPr>
        <w:snapToGrid w:val="0"/>
        <w:spacing w:line="360" w:lineRule="auto"/>
        <w:ind w:firstLine="480" w:firstLineChars="200"/>
        <w:jc w:val="left"/>
        <w:rPr>
          <w:rFonts w:ascii="宋体" w:hAnsi="Times New Roman" w:cs="Times New Roman"/>
          <w:color w:val="auto"/>
          <w:sz w:val="24"/>
          <w:szCs w:val="24"/>
        </w:rPr>
      </w:pPr>
      <w:r>
        <w:rPr>
          <w:rFonts w:ascii="宋体" w:cs="宋体"/>
          <w:color w:val="auto"/>
          <w:sz w:val="24"/>
          <w:szCs w:val="24"/>
        </w:rPr>
        <w:t>1</w:t>
      </w:r>
      <w:r>
        <w:rPr>
          <w:rFonts w:hint="eastAsia" w:ascii="宋体" w:cs="宋体"/>
          <w:color w:val="auto"/>
          <w:sz w:val="24"/>
          <w:szCs w:val="24"/>
        </w:rPr>
        <w:t>、“报价清单”应与“投标人须知”、“通用合同条款”、“专用合同条款”和“发包人要求”一起使用。投标人应根据本招标项目前一阶段（工可阶段或初步设计阶段）批复意见和强制性要求，按照本招标文件规定的勘察工作内容和计划工作量，认真阅读分析本招标项目勘察原始资料，在编制完成技术建议书的前提下，慎重提出“报价清单”，并以此做为本招标项目勘察费的基础。</w:t>
      </w:r>
    </w:p>
    <w:p>
      <w:pPr>
        <w:snapToGrid w:val="0"/>
        <w:spacing w:line="360" w:lineRule="auto"/>
        <w:ind w:firstLine="480" w:firstLineChars="200"/>
        <w:jc w:val="left"/>
        <w:rPr>
          <w:rFonts w:ascii="宋体" w:cs="Times New Roman"/>
          <w:color w:val="auto"/>
          <w:sz w:val="24"/>
          <w:szCs w:val="24"/>
        </w:rPr>
      </w:pPr>
      <w:r>
        <w:rPr>
          <w:rFonts w:ascii="宋体" w:cs="宋体"/>
          <w:color w:val="auto"/>
          <w:sz w:val="24"/>
          <w:szCs w:val="24"/>
        </w:rPr>
        <w:t>2</w:t>
      </w:r>
      <w:r>
        <w:rPr>
          <w:rFonts w:hint="eastAsia" w:ascii="宋体" w:cs="宋体"/>
          <w:color w:val="auto"/>
          <w:sz w:val="24"/>
          <w:szCs w:val="24"/>
        </w:rPr>
        <w:t>、勘察人应按照国家有关工程建设标准强制性条文和交通运输部有关标准、规范、规程、定额、办法、示例等要求的内容和深度，开展本招标项目的勘察工作，并将勘察费计入相应的报价项目中。“报价清单”所列的报价，应包括测量、勘察、测试、专题研究等为完成本招标项目勘察全过程的一切费用，包括按合同规定应完成的勘察费和后续服务费（招标配合与施工配合</w:t>
      </w:r>
      <w:r>
        <w:rPr>
          <w:rFonts w:ascii="宋体" w:cs="宋体"/>
          <w:color w:val="auto"/>
          <w:sz w:val="24"/>
          <w:szCs w:val="24"/>
        </w:rPr>
        <w:t>)</w:t>
      </w:r>
      <w:r>
        <w:rPr>
          <w:rFonts w:hint="eastAsia" w:ascii="宋体" w:cs="宋体"/>
          <w:color w:val="auto"/>
          <w:sz w:val="24"/>
          <w:szCs w:val="24"/>
        </w:rPr>
        <w:t>、与勘察文件审查有关的各种会议的会务费以及勘察人自行委托咨询的咨询费、利润、税金等与此有关的一切费用。</w:t>
      </w:r>
    </w:p>
    <w:p>
      <w:pPr>
        <w:snapToGrid w:val="0"/>
        <w:spacing w:line="360" w:lineRule="auto"/>
        <w:ind w:firstLine="480" w:firstLineChars="200"/>
        <w:jc w:val="left"/>
        <w:rPr>
          <w:rFonts w:ascii="宋体" w:cs="Times New Roman"/>
          <w:color w:val="auto"/>
          <w:sz w:val="24"/>
          <w:szCs w:val="24"/>
        </w:rPr>
      </w:pPr>
      <w:r>
        <w:rPr>
          <w:rFonts w:ascii="宋体" w:cs="宋体"/>
          <w:color w:val="auto"/>
          <w:sz w:val="24"/>
          <w:szCs w:val="24"/>
        </w:rPr>
        <w:t>3</w:t>
      </w:r>
      <w:r>
        <w:rPr>
          <w:rFonts w:hint="eastAsia" w:ascii="宋体" w:cs="宋体"/>
          <w:color w:val="auto"/>
          <w:sz w:val="24"/>
          <w:szCs w:val="24"/>
        </w:rPr>
        <w:t>、“报价清单”为通用表格，投标人应根据本招标项目工作内容，按照表格格式详细填写，以免遗漏或有误。投标人没有报价的项目，发包人将认为有关费用己包含在其它项目之中，不另行支付。凡清单项目中未包含的但在勘察中又必须完成的工作内容，均被认为己包含在清单各项目报价中，发包人不另行支付。</w:t>
      </w:r>
    </w:p>
    <w:p>
      <w:pPr>
        <w:snapToGrid w:val="0"/>
        <w:spacing w:line="360" w:lineRule="auto"/>
        <w:ind w:firstLine="480" w:firstLineChars="200"/>
        <w:jc w:val="left"/>
        <w:rPr>
          <w:rFonts w:ascii="宋体" w:cs="Times New Roman"/>
          <w:color w:val="auto"/>
          <w:sz w:val="24"/>
          <w:szCs w:val="24"/>
        </w:rPr>
      </w:pPr>
      <w:r>
        <w:rPr>
          <w:rFonts w:ascii="宋体" w:cs="宋体"/>
          <w:color w:val="auto"/>
          <w:sz w:val="24"/>
          <w:szCs w:val="24"/>
        </w:rPr>
        <w:t>4</w:t>
      </w:r>
      <w:r>
        <w:rPr>
          <w:rFonts w:hint="eastAsia" w:ascii="宋体" w:cs="宋体"/>
          <w:color w:val="auto"/>
          <w:sz w:val="24"/>
          <w:szCs w:val="24"/>
        </w:rPr>
        <w:t>、投标人在“报价清单”中报价应以人民币为单位。</w:t>
      </w:r>
    </w:p>
    <w:p>
      <w:pPr>
        <w:snapToGrid w:val="0"/>
        <w:spacing w:line="360" w:lineRule="auto"/>
        <w:ind w:firstLine="480" w:firstLineChars="200"/>
        <w:jc w:val="left"/>
        <w:rPr>
          <w:rFonts w:ascii="宋体" w:cs="Times New Roman"/>
          <w:color w:val="auto"/>
          <w:sz w:val="24"/>
          <w:szCs w:val="24"/>
        </w:rPr>
      </w:pPr>
      <w:r>
        <w:rPr>
          <w:rFonts w:ascii="宋体" w:cs="宋体"/>
          <w:color w:val="auto"/>
          <w:sz w:val="24"/>
          <w:szCs w:val="24"/>
        </w:rPr>
        <w:t>5</w:t>
      </w:r>
      <w:r>
        <w:rPr>
          <w:rFonts w:hint="eastAsia" w:ascii="宋体" w:cs="宋体"/>
          <w:color w:val="auto"/>
          <w:sz w:val="24"/>
          <w:szCs w:val="24"/>
        </w:rPr>
        <w:t>、投标人应在“报价清单”后附详细的计算说明，包括计算方法、取费依据等，以便招标人对投标人勘察报价的合理性作出判断。</w:t>
      </w:r>
    </w:p>
    <w:p>
      <w:pPr>
        <w:snapToGrid w:val="0"/>
        <w:spacing w:line="360" w:lineRule="auto"/>
        <w:jc w:val="center"/>
        <w:rPr>
          <w:rFonts w:ascii="黑体" w:hAnsi="黑体" w:eastAsia="黑体" w:cs="Times New Roman"/>
          <w:b/>
          <w:bCs/>
          <w:color w:val="auto"/>
          <w:sz w:val="30"/>
          <w:szCs w:val="30"/>
        </w:rPr>
      </w:pPr>
    </w:p>
    <w:p>
      <w:pPr>
        <w:snapToGrid w:val="0"/>
        <w:spacing w:line="360" w:lineRule="auto"/>
        <w:ind w:firstLine="480"/>
        <w:jc w:val="left"/>
        <w:rPr>
          <w:rFonts w:ascii="宋体" w:hAnsi="Times New Roman" w:cs="Times New Roman"/>
          <w:color w:val="auto"/>
          <w:sz w:val="24"/>
          <w:szCs w:val="24"/>
        </w:rPr>
      </w:pPr>
      <w:r>
        <w:rPr>
          <w:rFonts w:ascii="黑体" w:hAnsi="黑体" w:eastAsia="黑体" w:cs="Times New Roman"/>
          <w:b/>
          <w:bCs/>
          <w:color w:val="auto"/>
          <w:sz w:val="28"/>
          <w:szCs w:val="28"/>
        </w:rPr>
        <w:br w:type="page"/>
      </w:r>
    </w:p>
    <w:p>
      <w:pPr>
        <w:snapToGrid w:val="0"/>
        <w:spacing w:line="360" w:lineRule="auto"/>
        <w:jc w:val="center"/>
        <w:rPr>
          <w:rFonts w:ascii="黑体" w:hAnsi="黑体" w:eastAsia="黑体" w:cs="Times New Roman"/>
          <w:b/>
          <w:bCs/>
          <w:color w:val="auto"/>
          <w:sz w:val="28"/>
          <w:szCs w:val="28"/>
        </w:rPr>
      </w:pPr>
      <w:r>
        <w:rPr>
          <w:rFonts w:hint="eastAsia" w:ascii="黑体" w:hAnsi="黑体" w:eastAsia="黑体" w:cs="黑体"/>
          <w:b/>
          <w:bCs/>
          <w:color w:val="auto"/>
          <w:sz w:val="28"/>
          <w:szCs w:val="28"/>
        </w:rPr>
        <w:t>（二）公路工程勘察工作报价清单表</w:t>
      </w:r>
    </w:p>
    <w:p>
      <w:pPr>
        <w:snapToGrid w:val="0"/>
        <w:jc w:val="left"/>
        <w:rPr>
          <w:rFonts w:ascii="宋体" w:hAnsi="Times New Roman" w:cs="Times New Roman"/>
          <w:color w:val="auto"/>
        </w:rPr>
      </w:pPr>
      <w:r>
        <w:rPr>
          <w:rFonts w:hint="eastAsia" w:ascii="宋体" w:cs="宋体"/>
          <w:color w:val="auto"/>
        </w:rPr>
        <w:t>第标段单位：元（人民币）</w:t>
      </w:r>
    </w:p>
    <w:tbl>
      <w:tblPr>
        <w:tblStyle w:val="20"/>
        <w:tblW w:w="8790" w:type="dxa"/>
        <w:tblInd w:w="2" w:type="dxa"/>
        <w:tblLayout w:type="fixed"/>
        <w:tblCellMar>
          <w:top w:w="0" w:type="dxa"/>
          <w:left w:w="0" w:type="dxa"/>
          <w:bottom w:w="0" w:type="dxa"/>
          <w:right w:w="0" w:type="dxa"/>
        </w:tblCellMar>
      </w:tblPr>
      <w:tblGrid>
        <w:gridCol w:w="1465"/>
        <w:gridCol w:w="1464"/>
        <w:gridCol w:w="1464"/>
        <w:gridCol w:w="1464"/>
        <w:gridCol w:w="1464"/>
        <w:gridCol w:w="1469"/>
      </w:tblGrid>
      <w:tr>
        <w:tblPrEx>
          <w:tblCellMar>
            <w:top w:w="0" w:type="dxa"/>
            <w:left w:w="0" w:type="dxa"/>
            <w:bottom w:w="0" w:type="dxa"/>
            <w:right w:w="0" w:type="dxa"/>
          </w:tblCellMar>
        </w:tblPrEx>
        <w:trPr>
          <w:trHeight w:val="499" w:hRule="atLeast"/>
        </w:trPr>
        <w:tc>
          <w:tcPr>
            <w:tcW w:w="1465"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spacing w:line="200" w:lineRule="atLeast"/>
              <w:jc w:val="center"/>
              <w:rPr>
                <w:rFonts w:cs="Times New Roman"/>
                <w:color w:val="auto"/>
              </w:rPr>
            </w:pPr>
            <w:r>
              <w:rPr>
                <w:rFonts w:hint="eastAsia" w:cs="宋体"/>
                <w:color w:val="auto"/>
              </w:rPr>
              <w:t>序号</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spacing w:line="200" w:lineRule="atLeast"/>
              <w:ind w:left="220" w:hanging="220"/>
              <w:jc w:val="center"/>
              <w:rPr>
                <w:rFonts w:cs="Times New Roman"/>
                <w:color w:val="auto"/>
              </w:rPr>
            </w:pPr>
            <w:r>
              <w:rPr>
                <w:rFonts w:hint="eastAsia" w:cs="宋体"/>
                <w:color w:val="auto"/>
              </w:rPr>
              <w:t>项目名称</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spacing w:line="200" w:lineRule="atLeast"/>
              <w:jc w:val="center"/>
              <w:rPr>
                <w:rFonts w:cs="Times New Roman"/>
                <w:color w:val="auto"/>
              </w:rPr>
            </w:pPr>
            <w:r>
              <w:rPr>
                <w:rFonts w:hint="eastAsia" w:cs="宋体"/>
                <w:color w:val="auto"/>
              </w:rPr>
              <w:t>计量单位</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spacing w:line="200" w:lineRule="atLeast"/>
              <w:jc w:val="center"/>
              <w:rPr>
                <w:rFonts w:cs="Times New Roman"/>
                <w:color w:val="auto"/>
              </w:rPr>
            </w:pPr>
            <w:r>
              <w:rPr>
                <w:rFonts w:hint="eastAsia" w:cs="宋体"/>
                <w:color w:val="auto"/>
              </w:rPr>
              <w:t>实物工作量</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spacing w:line="200" w:lineRule="atLeast"/>
              <w:jc w:val="center"/>
              <w:rPr>
                <w:rFonts w:cs="Times New Roman"/>
                <w:color w:val="auto"/>
              </w:rPr>
            </w:pPr>
            <w:r>
              <w:rPr>
                <w:rFonts w:hint="eastAsia" w:cs="宋体"/>
                <w:color w:val="auto"/>
              </w:rPr>
              <w:t>单价金额</w:t>
            </w:r>
          </w:p>
        </w:tc>
        <w:tc>
          <w:tcPr>
            <w:tcW w:w="1469" w:type="dxa"/>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vAlign w:val="center"/>
          </w:tcPr>
          <w:p>
            <w:pPr>
              <w:widowControl/>
              <w:shd w:val="clear" w:color="auto" w:fill="FFFFFF"/>
              <w:spacing w:line="200" w:lineRule="atLeast"/>
              <w:jc w:val="center"/>
              <w:rPr>
                <w:rFonts w:cs="Times New Roman"/>
                <w:color w:val="auto"/>
              </w:rPr>
            </w:pPr>
            <w:r>
              <w:rPr>
                <w:rFonts w:hint="eastAsia" w:cs="宋体"/>
                <w:color w:val="auto"/>
              </w:rPr>
              <w:t>合价金额</w:t>
            </w:r>
          </w:p>
        </w:tc>
      </w:tr>
      <w:tr>
        <w:tblPrEx>
          <w:tblCellMar>
            <w:top w:w="0" w:type="dxa"/>
            <w:left w:w="0" w:type="dxa"/>
            <w:bottom w:w="0" w:type="dxa"/>
            <w:right w:w="0" w:type="dxa"/>
          </w:tblCellMar>
        </w:tblPrEx>
        <w:trPr>
          <w:trHeight w:val="427" w:hRule="atLeast"/>
        </w:trPr>
        <w:tc>
          <w:tcPr>
            <w:tcW w:w="1465"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spacing w:line="190" w:lineRule="atLeast"/>
              <w:jc w:val="left"/>
              <w:rPr>
                <w:rFonts w:cs="Times New Roman"/>
                <w:color w:val="auto"/>
              </w:rPr>
            </w:pPr>
            <w:r>
              <w:rPr>
                <w:color w:val="auto"/>
              </w:rPr>
              <w:t>1</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spacing w:line="200" w:lineRule="atLeast"/>
              <w:ind w:left="220" w:hanging="220"/>
              <w:jc w:val="left"/>
              <w:rPr>
                <w:rFonts w:cs="Times New Roman"/>
                <w:color w:val="auto"/>
              </w:rPr>
            </w:pPr>
            <w:r>
              <w:rPr>
                <w:rFonts w:hint="eastAsia" w:cs="宋体"/>
                <w:color w:val="auto"/>
              </w:rPr>
              <w:t>控制测量</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9" w:type="dxa"/>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vAlign w:val="center"/>
          </w:tcPr>
          <w:p>
            <w:pPr>
              <w:widowControl/>
              <w:rPr>
                <w:rFonts w:cs="Times New Roman"/>
                <w:color w:val="auto"/>
              </w:rPr>
            </w:pPr>
          </w:p>
        </w:tc>
      </w:tr>
      <w:tr>
        <w:tblPrEx>
          <w:tblCellMar>
            <w:top w:w="0" w:type="dxa"/>
            <w:left w:w="0" w:type="dxa"/>
            <w:bottom w:w="0" w:type="dxa"/>
            <w:right w:w="0" w:type="dxa"/>
          </w:tblCellMar>
        </w:tblPrEx>
        <w:trPr>
          <w:trHeight w:val="432" w:hRule="atLeast"/>
        </w:trPr>
        <w:tc>
          <w:tcPr>
            <w:tcW w:w="1465"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spacing w:line="190" w:lineRule="atLeast"/>
              <w:jc w:val="left"/>
              <w:rPr>
                <w:rFonts w:cs="Times New Roman"/>
                <w:color w:val="auto"/>
              </w:rPr>
            </w:pPr>
            <w:r>
              <w:rPr>
                <w:color w:val="auto"/>
              </w:rPr>
              <w:t>-1</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spacing w:line="190" w:lineRule="atLeast"/>
              <w:ind w:left="220" w:hanging="220"/>
              <w:jc w:val="left"/>
              <w:rPr>
                <w:rFonts w:cs="Times New Roman"/>
                <w:color w:val="auto"/>
              </w:rPr>
            </w:pPr>
            <w:r>
              <w:rPr>
                <w:rFonts w:hint="eastAsia" w:cs="宋体"/>
                <w:color w:val="auto"/>
              </w:rPr>
              <w:t>一级</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spacing w:line="200" w:lineRule="atLeast"/>
              <w:jc w:val="left"/>
              <w:rPr>
                <w:rFonts w:cs="Times New Roman"/>
                <w:color w:val="auto"/>
              </w:rPr>
            </w:pPr>
            <w:r>
              <w:rPr>
                <w:color w:val="auto"/>
              </w:rPr>
              <w:t>km</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9" w:type="dxa"/>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vAlign w:val="center"/>
          </w:tcPr>
          <w:p>
            <w:pPr>
              <w:widowControl/>
              <w:rPr>
                <w:rFonts w:cs="Times New Roman"/>
                <w:color w:val="auto"/>
              </w:rPr>
            </w:pPr>
          </w:p>
        </w:tc>
      </w:tr>
      <w:tr>
        <w:tblPrEx>
          <w:tblCellMar>
            <w:top w:w="0" w:type="dxa"/>
            <w:left w:w="0" w:type="dxa"/>
            <w:bottom w:w="0" w:type="dxa"/>
            <w:right w:w="0" w:type="dxa"/>
          </w:tblCellMar>
        </w:tblPrEx>
        <w:trPr>
          <w:trHeight w:val="432" w:hRule="atLeast"/>
        </w:trPr>
        <w:tc>
          <w:tcPr>
            <w:tcW w:w="1465"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spacing w:line="200" w:lineRule="atLeast"/>
              <w:jc w:val="left"/>
              <w:rPr>
                <w:rFonts w:cs="Times New Roman"/>
                <w:color w:val="auto"/>
              </w:rPr>
            </w:pPr>
            <w:r>
              <w:rPr>
                <w:color w:val="auto"/>
                <w:spacing w:val="-10"/>
              </w:rPr>
              <w:t>-2</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spacing w:line="190" w:lineRule="atLeast"/>
              <w:ind w:left="220" w:hanging="220"/>
              <w:jc w:val="left"/>
              <w:rPr>
                <w:rFonts w:cs="Times New Roman"/>
                <w:color w:val="auto"/>
              </w:rPr>
            </w:pPr>
            <w:r>
              <w:rPr>
                <w:rFonts w:hint="eastAsia" w:cs="宋体"/>
                <w:color w:val="auto"/>
              </w:rPr>
              <w:t>二级</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spacing w:line="200" w:lineRule="atLeast"/>
              <w:jc w:val="left"/>
              <w:rPr>
                <w:rFonts w:cs="Times New Roman"/>
                <w:color w:val="auto"/>
              </w:rPr>
            </w:pPr>
            <w:r>
              <w:rPr>
                <w:color w:val="auto"/>
              </w:rPr>
              <w:t>km</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9" w:type="dxa"/>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vAlign w:val="center"/>
          </w:tcPr>
          <w:p>
            <w:pPr>
              <w:widowControl/>
              <w:rPr>
                <w:rFonts w:cs="Times New Roman"/>
                <w:color w:val="auto"/>
              </w:rPr>
            </w:pPr>
          </w:p>
        </w:tc>
      </w:tr>
      <w:tr>
        <w:tblPrEx>
          <w:tblCellMar>
            <w:top w:w="0" w:type="dxa"/>
            <w:left w:w="0" w:type="dxa"/>
            <w:bottom w:w="0" w:type="dxa"/>
            <w:right w:w="0" w:type="dxa"/>
          </w:tblCellMar>
        </w:tblPrEx>
        <w:trPr>
          <w:trHeight w:val="427" w:hRule="atLeast"/>
        </w:trPr>
        <w:tc>
          <w:tcPr>
            <w:tcW w:w="1465"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spacing w:line="200" w:lineRule="atLeast"/>
              <w:jc w:val="left"/>
              <w:rPr>
                <w:rFonts w:cs="Times New Roman"/>
                <w:color w:val="auto"/>
              </w:rPr>
            </w:pPr>
            <w:r>
              <w:rPr>
                <w:color w:val="auto"/>
                <w:spacing w:val="-10"/>
              </w:rPr>
              <w:t>-3</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spacing w:line="190" w:lineRule="atLeast"/>
              <w:ind w:left="220" w:hanging="220"/>
              <w:jc w:val="left"/>
              <w:rPr>
                <w:rFonts w:cs="Times New Roman"/>
                <w:color w:val="auto"/>
              </w:rPr>
            </w:pPr>
            <w:r>
              <w:rPr>
                <w:rFonts w:hint="eastAsia" w:cs="宋体"/>
                <w:color w:val="auto"/>
              </w:rPr>
              <w:t>二等</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spacing w:line="200" w:lineRule="atLeast"/>
              <w:jc w:val="left"/>
              <w:rPr>
                <w:rFonts w:cs="Times New Roman"/>
                <w:color w:val="auto"/>
              </w:rPr>
            </w:pPr>
            <w:r>
              <w:rPr>
                <w:color w:val="auto"/>
              </w:rPr>
              <w:t>km</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9" w:type="dxa"/>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vAlign w:val="center"/>
          </w:tcPr>
          <w:p>
            <w:pPr>
              <w:widowControl/>
              <w:rPr>
                <w:rFonts w:cs="Times New Roman"/>
                <w:color w:val="auto"/>
              </w:rPr>
            </w:pPr>
          </w:p>
        </w:tc>
      </w:tr>
      <w:tr>
        <w:tblPrEx>
          <w:tblCellMar>
            <w:top w:w="0" w:type="dxa"/>
            <w:left w:w="0" w:type="dxa"/>
            <w:bottom w:w="0" w:type="dxa"/>
            <w:right w:w="0" w:type="dxa"/>
          </w:tblCellMar>
        </w:tblPrEx>
        <w:trPr>
          <w:trHeight w:val="432" w:hRule="atLeast"/>
        </w:trPr>
        <w:tc>
          <w:tcPr>
            <w:tcW w:w="1465"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spacing w:line="200" w:lineRule="atLeast"/>
              <w:jc w:val="left"/>
              <w:rPr>
                <w:rFonts w:cs="Times New Roman"/>
                <w:color w:val="auto"/>
              </w:rPr>
            </w:pPr>
            <w:r>
              <w:rPr>
                <w:color w:val="auto"/>
                <w:spacing w:val="-10"/>
              </w:rPr>
              <w:t>-4</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spacing w:line="190" w:lineRule="atLeast"/>
              <w:ind w:left="220" w:hanging="220"/>
              <w:jc w:val="left"/>
              <w:rPr>
                <w:rFonts w:cs="Times New Roman"/>
                <w:color w:val="auto"/>
              </w:rPr>
            </w:pPr>
            <w:r>
              <w:rPr>
                <w:rFonts w:hint="eastAsia" w:cs="宋体"/>
                <w:color w:val="auto"/>
              </w:rPr>
              <w:t>三等</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spacing w:line="200" w:lineRule="atLeast"/>
              <w:jc w:val="left"/>
              <w:rPr>
                <w:rFonts w:cs="Times New Roman"/>
                <w:color w:val="auto"/>
              </w:rPr>
            </w:pPr>
            <w:r>
              <w:rPr>
                <w:color w:val="auto"/>
              </w:rPr>
              <w:t>km</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9" w:type="dxa"/>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vAlign w:val="center"/>
          </w:tcPr>
          <w:p>
            <w:pPr>
              <w:widowControl/>
              <w:rPr>
                <w:rFonts w:cs="Times New Roman"/>
                <w:color w:val="auto"/>
              </w:rPr>
            </w:pPr>
          </w:p>
        </w:tc>
      </w:tr>
      <w:tr>
        <w:tblPrEx>
          <w:tblCellMar>
            <w:top w:w="0" w:type="dxa"/>
            <w:left w:w="0" w:type="dxa"/>
            <w:bottom w:w="0" w:type="dxa"/>
            <w:right w:w="0" w:type="dxa"/>
          </w:tblCellMar>
        </w:tblPrEx>
        <w:trPr>
          <w:trHeight w:val="427" w:hRule="atLeast"/>
        </w:trPr>
        <w:tc>
          <w:tcPr>
            <w:tcW w:w="1465"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spacing w:line="200" w:lineRule="atLeast"/>
              <w:jc w:val="left"/>
              <w:rPr>
                <w:rFonts w:cs="Times New Roman"/>
                <w:color w:val="auto"/>
              </w:rPr>
            </w:pPr>
            <w:r>
              <w:rPr>
                <w:color w:val="auto"/>
                <w:spacing w:val="-10"/>
              </w:rPr>
              <w:t>-5</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spacing w:line="190" w:lineRule="atLeast"/>
              <w:ind w:left="220" w:hanging="220"/>
              <w:jc w:val="left"/>
              <w:rPr>
                <w:rFonts w:cs="Times New Roman"/>
                <w:color w:val="auto"/>
              </w:rPr>
            </w:pPr>
            <w:r>
              <w:rPr>
                <w:rFonts w:hint="eastAsia" w:cs="宋体"/>
                <w:color w:val="auto"/>
              </w:rPr>
              <w:t>四等</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spacing w:line="200" w:lineRule="atLeast"/>
              <w:jc w:val="left"/>
              <w:rPr>
                <w:rFonts w:cs="Times New Roman"/>
                <w:color w:val="auto"/>
              </w:rPr>
            </w:pPr>
            <w:r>
              <w:rPr>
                <w:color w:val="auto"/>
              </w:rPr>
              <w:t>km</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9" w:type="dxa"/>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vAlign w:val="center"/>
          </w:tcPr>
          <w:p>
            <w:pPr>
              <w:widowControl/>
              <w:rPr>
                <w:rFonts w:cs="Times New Roman"/>
                <w:color w:val="auto"/>
              </w:rPr>
            </w:pPr>
          </w:p>
        </w:tc>
      </w:tr>
      <w:tr>
        <w:tblPrEx>
          <w:tblCellMar>
            <w:top w:w="0" w:type="dxa"/>
            <w:left w:w="0" w:type="dxa"/>
            <w:bottom w:w="0" w:type="dxa"/>
            <w:right w:w="0" w:type="dxa"/>
          </w:tblCellMar>
        </w:tblPrEx>
        <w:trPr>
          <w:trHeight w:val="432" w:hRule="atLeast"/>
        </w:trPr>
        <w:tc>
          <w:tcPr>
            <w:tcW w:w="1465"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9" w:type="dxa"/>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vAlign w:val="center"/>
          </w:tcPr>
          <w:p>
            <w:pPr>
              <w:widowControl/>
              <w:rPr>
                <w:rFonts w:cs="Times New Roman"/>
                <w:color w:val="auto"/>
              </w:rPr>
            </w:pPr>
          </w:p>
        </w:tc>
      </w:tr>
      <w:tr>
        <w:tblPrEx>
          <w:tblCellMar>
            <w:top w:w="0" w:type="dxa"/>
            <w:left w:w="0" w:type="dxa"/>
            <w:bottom w:w="0" w:type="dxa"/>
            <w:right w:w="0" w:type="dxa"/>
          </w:tblCellMar>
        </w:tblPrEx>
        <w:trPr>
          <w:trHeight w:val="850" w:hRule="atLeast"/>
        </w:trPr>
        <w:tc>
          <w:tcPr>
            <w:tcW w:w="1465"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spacing w:line="190" w:lineRule="atLeast"/>
              <w:rPr>
                <w:rFonts w:cs="Times New Roman"/>
                <w:color w:val="auto"/>
              </w:rPr>
            </w:pPr>
            <w:r>
              <w:rPr>
                <w:color w:val="auto"/>
              </w:rPr>
              <w:t>2</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ind w:left="220" w:hanging="220"/>
              <w:jc w:val="left"/>
              <w:rPr>
                <w:rFonts w:cs="Times New Roman"/>
                <w:color w:val="auto"/>
              </w:rPr>
            </w:pPr>
            <w:r>
              <w:rPr>
                <w:rFonts w:hint="eastAsia" w:cs="宋体"/>
                <w:color w:val="auto"/>
              </w:rPr>
              <w:t>地形图测绘</w:t>
            </w:r>
            <w:r>
              <w:rPr>
                <w:color w:val="auto"/>
              </w:rPr>
              <w:t xml:space="preserve"> (</w:t>
            </w:r>
            <w:r>
              <w:rPr>
                <w:rFonts w:hint="eastAsia" w:cs="宋体"/>
                <w:color w:val="auto"/>
              </w:rPr>
              <w:t>陆地）</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9" w:type="dxa"/>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vAlign w:val="center"/>
          </w:tcPr>
          <w:p>
            <w:pPr>
              <w:widowControl/>
              <w:rPr>
                <w:rFonts w:cs="Times New Roman"/>
                <w:color w:val="auto"/>
              </w:rPr>
            </w:pPr>
          </w:p>
        </w:tc>
      </w:tr>
      <w:tr>
        <w:tblPrEx>
          <w:tblCellMar>
            <w:top w:w="0" w:type="dxa"/>
            <w:left w:w="0" w:type="dxa"/>
            <w:bottom w:w="0" w:type="dxa"/>
            <w:right w:w="0" w:type="dxa"/>
          </w:tblCellMar>
        </w:tblPrEx>
        <w:trPr>
          <w:trHeight w:val="432" w:hRule="atLeast"/>
        </w:trPr>
        <w:tc>
          <w:tcPr>
            <w:tcW w:w="1465"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spacing w:line="190" w:lineRule="atLeast"/>
              <w:jc w:val="left"/>
              <w:rPr>
                <w:rFonts w:cs="Times New Roman"/>
                <w:color w:val="auto"/>
              </w:rPr>
            </w:pPr>
            <w:r>
              <w:rPr>
                <w:color w:val="auto"/>
              </w:rPr>
              <w:t>-1</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spacing w:line="200" w:lineRule="atLeast"/>
              <w:ind w:left="220" w:hanging="220"/>
              <w:jc w:val="left"/>
              <w:rPr>
                <w:rFonts w:cs="Times New Roman"/>
                <w:color w:val="auto"/>
              </w:rPr>
            </w:pPr>
            <w:r>
              <w:rPr>
                <w:color w:val="auto"/>
                <w:spacing w:val="-10"/>
              </w:rPr>
              <w:t>1</w:t>
            </w:r>
            <w:r>
              <w:rPr>
                <w:rFonts w:hint="eastAsia" w:cs="宋体"/>
                <w:color w:val="auto"/>
                <w:spacing w:val="-10"/>
              </w:rPr>
              <w:t>：</w:t>
            </w:r>
            <w:r>
              <w:rPr>
                <w:color w:val="auto"/>
                <w:spacing w:val="-10"/>
              </w:rPr>
              <w:t xml:space="preserve"> 500</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spacing w:line="200" w:lineRule="atLeast"/>
              <w:rPr>
                <w:rFonts w:cs="Times New Roman"/>
                <w:color w:val="auto"/>
              </w:rPr>
            </w:pPr>
            <w:r>
              <w:rPr>
                <w:color w:val="auto"/>
              </w:rPr>
              <w:t>km²</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9" w:type="dxa"/>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vAlign w:val="center"/>
          </w:tcPr>
          <w:p>
            <w:pPr>
              <w:widowControl/>
              <w:rPr>
                <w:rFonts w:cs="Times New Roman"/>
                <w:color w:val="auto"/>
              </w:rPr>
            </w:pPr>
          </w:p>
        </w:tc>
      </w:tr>
      <w:tr>
        <w:tblPrEx>
          <w:tblCellMar>
            <w:top w:w="0" w:type="dxa"/>
            <w:left w:w="0" w:type="dxa"/>
            <w:bottom w:w="0" w:type="dxa"/>
            <w:right w:w="0" w:type="dxa"/>
          </w:tblCellMar>
        </w:tblPrEx>
        <w:trPr>
          <w:trHeight w:val="432" w:hRule="atLeast"/>
        </w:trPr>
        <w:tc>
          <w:tcPr>
            <w:tcW w:w="1465"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spacing w:line="200" w:lineRule="atLeast"/>
              <w:jc w:val="left"/>
              <w:rPr>
                <w:rFonts w:cs="Times New Roman"/>
                <w:color w:val="auto"/>
              </w:rPr>
            </w:pPr>
            <w:r>
              <w:rPr>
                <w:color w:val="auto"/>
                <w:spacing w:val="-10"/>
              </w:rPr>
              <w:t>-2</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spacing w:line="200" w:lineRule="atLeast"/>
              <w:ind w:left="220" w:hanging="220"/>
              <w:jc w:val="left"/>
              <w:rPr>
                <w:rFonts w:cs="Times New Roman"/>
                <w:color w:val="auto"/>
              </w:rPr>
            </w:pPr>
            <w:r>
              <w:rPr>
                <w:color w:val="auto"/>
                <w:spacing w:val="-10"/>
              </w:rPr>
              <w:t>1</w:t>
            </w:r>
            <w:r>
              <w:rPr>
                <w:rFonts w:hint="eastAsia" w:cs="宋体"/>
                <w:color w:val="auto"/>
                <w:spacing w:val="-10"/>
              </w:rPr>
              <w:t>：</w:t>
            </w:r>
            <w:r>
              <w:rPr>
                <w:color w:val="auto"/>
                <w:spacing w:val="-10"/>
              </w:rPr>
              <w:t xml:space="preserve"> 1000</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rPr>
                <w:rFonts w:cs="Times New Roman"/>
                <w:color w:val="auto"/>
              </w:rPr>
            </w:pPr>
            <w:r>
              <w:rPr>
                <w:color w:val="auto"/>
              </w:rPr>
              <w:t>km²</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9" w:type="dxa"/>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vAlign w:val="center"/>
          </w:tcPr>
          <w:p>
            <w:pPr>
              <w:widowControl/>
              <w:rPr>
                <w:rFonts w:cs="Times New Roman"/>
                <w:color w:val="auto"/>
              </w:rPr>
            </w:pPr>
          </w:p>
        </w:tc>
      </w:tr>
      <w:tr>
        <w:tblPrEx>
          <w:tblCellMar>
            <w:top w:w="0" w:type="dxa"/>
            <w:left w:w="0" w:type="dxa"/>
            <w:bottom w:w="0" w:type="dxa"/>
            <w:right w:w="0" w:type="dxa"/>
          </w:tblCellMar>
        </w:tblPrEx>
        <w:trPr>
          <w:trHeight w:val="427" w:hRule="atLeast"/>
        </w:trPr>
        <w:tc>
          <w:tcPr>
            <w:tcW w:w="1465"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spacing w:line="200" w:lineRule="atLeast"/>
              <w:jc w:val="left"/>
              <w:rPr>
                <w:rFonts w:cs="Times New Roman"/>
                <w:color w:val="auto"/>
              </w:rPr>
            </w:pPr>
            <w:r>
              <w:rPr>
                <w:color w:val="auto"/>
                <w:spacing w:val="-10"/>
              </w:rPr>
              <w:t>-3</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spacing w:line="200" w:lineRule="atLeast"/>
              <w:ind w:left="220" w:hanging="220"/>
              <w:jc w:val="left"/>
              <w:rPr>
                <w:rFonts w:cs="Times New Roman"/>
                <w:color w:val="auto"/>
              </w:rPr>
            </w:pPr>
            <w:r>
              <w:rPr>
                <w:color w:val="auto"/>
                <w:spacing w:val="-10"/>
              </w:rPr>
              <w:t>1</w:t>
            </w:r>
            <w:r>
              <w:rPr>
                <w:rFonts w:hint="eastAsia" w:cs="宋体"/>
                <w:color w:val="auto"/>
                <w:spacing w:val="-10"/>
              </w:rPr>
              <w:t>：</w:t>
            </w:r>
            <w:r>
              <w:rPr>
                <w:color w:val="auto"/>
                <w:spacing w:val="-10"/>
              </w:rPr>
              <w:t xml:space="preserve"> 2000</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rPr>
                <w:rFonts w:cs="Times New Roman"/>
                <w:color w:val="auto"/>
              </w:rPr>
            </w:pPr>
            <w:r>
              <w:rPr>
                <w:color w:val="auto"/>
              </w:rPr>
              <w:t>km²</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9" w:type="dxa"/>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vAlign w:val="center"/>
          </w:tcPr>
          <w:p>
            <w:pPr>
              <w:widowControl/>
              <w:rPr>
                <w:rFonts w:cs="Times New Roman"/>
                <w:color w:val="auto"/>
              </w:rPr>
            </w:pPr>
          </w:p>
        </w:tc>
      </w:tr>
      <w:tr>
        <w:tblPrEx>
          <w:tblCellMar>
            <w:top w:w="0" w:type="dxa"/>
            <w:left w:w="0" w:type="dxa"/>
            <w:bottom w:w="0" w:type="dxa"/>
            <w:right w:w="0" w:type="dxa"/>
          </w:tblCellMar>
        </w:tblPrEx>
        <w:trPr>
          <w:trHeight w:val="432" w:hRule="atLeast"/>
        </w:trPr>
        <w:tc>
          <w:tcPr>
            <w:tcW w:w="1465"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spacing w:line="200" w:lineRule="atLeast"/>
              <w:jc w:val="left"/>
              <w:rPr>
                <w:rFonts w:cs="Times New Roman"/>
                <w:color w:val="auto"/>
              </w:rPr>
            </w:pPr>
            <w:r>
              <w:rPr>
                <w:color w:val="auto"/>
                <w:spacing w:val="-10"/>
              </w:rPr>
              <w:t>-4</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spacing w:line="200" w:lineRule="atLeast"/>
              <w:ind w:left="220" w:hanging="220"/>
              <w:jc w:val="left"/>
              <w:rPr>
                <w:rFonts w:cs="Times New Roman"/>
                <w:color w:val="auto"/>
              </w:rPr>
            </w:pPr>
            <w:r>
              <w:rPr>
                <w:color w:val="auto"/>
                <w:spacing w:val="-10"/>
              </w:rPr>
              <w:t>1</w:t>
            </w:r>
            <w:r>
              <w:rPr>
                <w:rFonts w:hint="eastAsia" w:cs="宋体"/>
                <w:color w:val="auto"/>
                <w:spacing w:val="-10"/>
              </w:rPr>
              <w:t>：</w:t>
            </w:r>
            <w:r>
              <w:rPr>
                <w:color w:val="auto"/>
                <w:spacing w:val="-10"/>
              </w:rPr>
              <w:t xml:space="preserve"> 50000</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rPr>
                <w:rFonts w:cs="Times New Roman"/>
                <w:color w:val="auto"/>
              </w:rPr>
            </w:pPr>
            <w:r>
              <w:rPr>
                <w:color w:val="auto"/>
              </w:rPr>
              <w:t>km²</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9" w:type="dxa"/>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vAlign w:val="center"/>
          </w:tcPr>
          <w:p>
            <w:pPr>
              <w:widowControl/>
              <w:rPr>
                <w:rFonts w:cs="Times New Roman"/>
                <w:color w:val="auto"/>
              </w:rPr>
            </w:pPr>
          </w:p>
        </w:tc>
      </w:tr>
      <w:tr>
        <w:tblPrEx>
          <w:tblCellMar>
            <w:top w:w="0" w:type="dxa"/>
            <w:left w:w="0" w:type="dxa"/>
            <w:bottom w:w="0" w:type="dxa"/>
            <w:right w:w="0" w:type="dxa"/>
          </w:tblCellMar>
        </w:tblPrEx>
        <w:trPr>
          <w:trHeight w:val="427" w:hRule="atLeast"/>
        </w:trPr>
        <w:tc>
          <w:tcPr>
            <w:tcW w:w="1465"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spacing w:line="200" w:lineRule="atLeast"/>
              <w:jc w:val="left"/>
              <w:rPr>
                <w:rFonts w:cs="Times New Roman"/>
                <w:color w:val="auto"/>
              </w:rPr>
            </w:pPr>
            <w:r>
              <w:rPr>
                <w:color w:val="auto"/>
                <w:spacing w:val="-10"/>
              </w:rPr>
              <w:t>-5</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spacing w:line="200" w:lineRule="atLeast"/>
              <w:ind w:left="220" w:hanging="220"/>
              <w:jc w:val="left"/>
              <w:rPr>
                <w:rFonts w:cs="Times New Roman"/>
                <w:color w:val="auto"/>
              </w:rPr>
            </w:pPr>
            <w:r>
              <w:rPr>
                <w:color w:val="auto"/>
                <w:spacing w:val="-10"/>
              </w:rPr>
              <w:t>1</w:t>
            </w:r>
            <w:r>
              <w:rPr>
                <w:rFonts w:hint="eastAsia" w:cs="宋体"/>
                <w:color w:val="auto"/>
                <w:spacing w:val="-10"/>
              </w:rPr>
              <w:t>：</w:t>
            </w:r>
            <w:r>
              <w:rPr>
                <w:color w:val="auto"/>
                <w:spacing w:val="-10"/>
              </w:rPr>
              <w:t xml:space="preserve"> 10000</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rPr>
                <w:rFonts w:cs="Times New Roman"/>
                <w:color w:val="auto"/>
              </w:rPr>
            </w:pPr>
            <w:r>
              <w:rPr>
                <w:color w:val="auto"/>
              </w:rPr>
              <w:t>km²</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9" w:type="dxa"/>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vAlign w:val="center"/>
          </w:tcPr>
          <w:p>
            <w:pPr>
              <w:widowControl/>
              <w:rPr>
                <w:rFonts w:cs="Times New Roman"/>
                <w:color w:val="auto"/>
              </w:rPr>
            </w:pPr>
          </w:p>
        </w:tc>
      </w:tr>
      <w:tr>
        <w:tblPrEx>
          <w:tblCellMar>
            <w:top w:w="0" w:type="dxa"/>
            <w:left w:w="0" w:type="dxa"/>
            <w:bottom w:w="0" w:type="dxa"/>
            <w:right w:w="0" w:type="dxa"/>
          </w:tblCellMar>
        </w:tblPrEx>
        <w:trPr>
          <w:trHeight w:val="432" w:hRule="atLeast"/>
        </w:trPr>
        <w:tc>
          <w:tcPr>
            <w:tcW w:w="1465"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9" w:type="dxa"/>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vAlign w:val="center"/>
          </w:tcPr>
          <w:p>
            <w:pPr>
              <w:widowControl/>
              <w:rPr>
                <w:rFonts w:cs="Times New Roman"/>
                <w:color w:val="auto"/>
              </w:rPr>
            </w:pPr>
          </w:p>
        </w:tc>
      </w:tr>
      <w:tr>
        <w:tblPrEx>
          <w:tblCellMar>
            <w:top w:w="0" w:type="dxa"/>
            <w:left w:w="0" w:type="dxa"/>
            <w:bottom w:w="0" w:type="dxa"/>
            <w:right w:w="0" w:type="dxa"/>
          </w:tblCellMar>
        </w:tblPrEx>
        <w:trPr>
          <w:trHeight w:val="742" w:hRule="atLeast"/>
        </w:trPr>
        <w:tc>
          <w:tcPr>
            <w:tcW w:w="1465"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spacing w:line="190" w:lineRule="atLeast"/>
              <w:rPr>
                <w:rFonts w:cs="Times New Roman"/>
                <w:color w:val="auto"/>
              </w:rPr>
            </w:pPr>
            <w:r>
              <w:rPr>
                <w:color w:val="auto"/>
              </w:rPr>
              <w:t>3</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spacing w:after="180"/>
              <w:jc w:val="left"/>
              <w:rPr>
                <w:rFonts w:cs="Times New Roman"/>
                <w:color w:val="auto"/>
              </w:rPr>
            </w:pPr>
            <w:r>
              <w:rPr>
                <w:rFonts w:hint="eastAsia" w:cs="宋体"/>
                <w:color w:val="auto"/>
              </w:rPr>
              <w:t>水下地形图测绘</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9" w:type="dxa"/>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vAlign w:val="center"/>
          </w:tcPr>
          <w:p>
            <w:pPr>
              <w:widowControl/>
              <w:rPr>
                <w:rFonts w:cs="Times New Roman"/>
                <w:color w:val="auto"/>
              </w:rPr>
            </w:pPr>
          </w:p>
        </w:tc>
      </w:tr>
      <w:tr>
        <w:tblPrEx>
          <w:tblCellMar>
            <w:top w:w="0" w:type="dxa"/>
            <w:left w:w="0" w:type="dxa"/>
            <w:bottom w:w="0" w:type="dxa"/>
            <w:right w:w="0" w:type="dxa"/>
          </w:tblCellMar>
        </w:tblPrEx>
        <w:trPr>
          <w:trHeight w:val="432" w:hRule="atLeast"/>
        </w:trPr>
        <w:tc>
          <w:tcPr>
            <w:tcW w:w="1465"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spacing w:line="190" w:lineRule="atLeast"/>
              <w:jc w:val="left"/>
              <w:rPr>
                <w:rFonts w:cs="Times New Roman"/>
                <w:color w:val="auto"/>
              </w:rPr>
            </w:pPr>
            <w:r>
              <w:rPr>
                <w:color w:val="auto"/>
              </w:rPr>
              <w:t>-1</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spacing w:line="200" w:lineRule="atLeast"/>
              <w:ind w:left="220" w:hanging="220"/>
              <w:jc w:val="left"/>
              <w:rPr>
                <w:rFonts w:cs="Times New Roman"/>
                <w:color w:val="auto"/>
              </w:rPr>
            </w:pPr>
            <w:r>
              <w:rPr>
                <w:color w:val="auto"/>
                <w:spacing w:val="-10"/>
              </w:rPr>
              <w:t>1</w:t>
            </w:r>
            <w:r>
              <w:rPr>
                <w:rFonts w:hint="eastAsia" w:cs="宋体"/>
                <w:color w:val="auto"/>
                <w:spacing w:val="-10"/>
              </w:rPr>
              <w:t>：</w:t>
            </w:r>
            <w:r>
              <w:rPr>
                <w:color w:val="auto"/>
                <w:spacing w:val="-10"/>
              </w:rPr>
              <w:t xml:space="preserve"> 200</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rPr>
                <w:rFonts w:cs="Times New Roman"/>
                <w:color w:val="auto"/>
              </w:rPr>
            </w:pPr>
            <w:r>
              <w:rPr>
                <w:color w:val="auto"/>
              </w:rPr>
              <w:t>km²</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9" w:type="dxa"/>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vAlign w:val="center"/>
          </w:tcPr>
          <w:p>
            <w:pPr>
              <w:widowControl/>
              <w:rPr>
                <w:rFonts w:cs="Times New Roman"/>
                <w:color w:val="auto"/>
              </w:rPr>
            </w:pPr>
          </w:p>
        </w:tc>
      </w:tr>
      <w:tr>
        <w:tblPrEx>
          <w:tblCellMar>
            <w:top w:w="0" w:type="dxa"/>
            <w:left w:w="0" w:type="dxa"/>
            <w:bottom w:w="0" w:type="dxa"/>
            <w:right w:w="0" w:type="dxa"/>
          </w:tblCellMar>
        </w:tblPrEx>
        <w:trPr>
          <w:trHeight w:val="427" w:hRule="atLeast"/>
        </w:trPr>
        <w:tc>
          <w:tcPr>
            <w:tcW w:w="1465"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spacing w:line="200" w:lineRule="atLeast"/>
              <w:jc w:val="left"/>
              <w:rPr>
                <w:rFonts w:cs="Times New Roman"/>
                <w:color w:val="auto"/>
              </w:rPr>
            </w:pPr>
            <w:r>
              <w:rPr>
                <w:color w:val="auto"/>
                <w:spacing w:val="-10"/>
              </w:rPr>
              <w:t>-2</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spacing w:line="200" w:lineRule="atLeast"/>
              <w:ind w:left="220" w:hanging="220"/>
              <w:jc w:val="left"/>
              <w:rPr>
                <w:rFonts w:cs="Times New Roman"/>
                <w:color w:val="auto"/>
              </w:rPr>
            </w:pPr>
            <w:r>
              <w:rPr>
                <w:color w:val="auto"/>
                <w:spacing w:val="-10"/>
              </w:rPr>
              <w:t>1</w:t>
            </w:r>
            <w:r>
              <w:rPr>
                <w:rFonts w:hint="eastAsia" w:cs="宋体"/>
                <w:color w:val="auto"/>
                <w:spacing w:val="-10"/>
              </w:rPr>
              <w:t>：</w:t>
            </w:r>
            <w:r>
              <w:rPr>
                <w:color w:val="auto"/>
                <w:spacing w:val="-10"/>
              </w:rPr>
              <w:t xml:space="preserve"> 500</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rPr>
                <w:rFonts w:cs="Times New Roman"/>
                <w:color w:val="auto"/>
              </w:rPr>
            </w:pPr>
            <w:r>
              <w:rPr>
                <w:color w:val="auto"/>
              </w:rPr>
              <w:t>km²</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9" w:type="dxa"/>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vAlign w:val="center"/>
          </w:tcPr>
          <w:p>
            <w:pPr>
              <w:widowControl/>
              <w:rPr>
                <w:rFonts w:cs="Times New Roman"/>
                <w:color w:val="auto"/>
              </w:rPr>
            </w:pPr>
          </w:p>
        </w:tc>
      </w:tr>
      <w:tr>
        <w:tblPrEx>
          <w:tblCellMar>
            <w:top w:w="0" w:type="dxa"/>
            <w:left w:w="0" w:type="dxa"/>
            <w:bottom w:w="0" w:type="dxa"/>
            <w:right w:w="0" w:type="dxa"/>
          </w:tblCellMar>
        </w:tblPrEx>
        <w:trPr>
          <w:trHeight w:val="432" w:hRule="atLeast"/>
        </w:trPr>
        <w:tc>
          <w:tcPr>
            <w:tcW w:w="1465"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spacing w:line="200" w:lineRule="atLeast"/>
              <w:jc w:val="left"/>
              <w:rPr>
                <w:rFonts w:cs="Times New Roman"/>
                <w:color w:val="auto"/>
              </w:rPr>
            </w:pPr>
            <w:r>
              <w:rPr>
                <w:color w:val="auto"/>
                <w:spacing w:val="-10"/>
              </w:rPr>
              <w:t>-3</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spacing w:line="200" w:lineRule="atLeast"/>
              <w:ind w:left="220" w:hanging="220"/>
              <w:jc w:val="left"/>
              <w:rPr>
                <w:rFonts w:cs="Times New Roman"/>
                <w:color w:val="auto"/>
              </w:rPr>
            </w:pPr>
            <w:r>
              <w:rPr>
                <w:color w:val="auto"/>
                <w:spacing w:val="-10"/>
              </w:rPr>
              <w:t>1</w:t>
            </w:r>
            <w:r>
              <w:rPr>
                <w:rFonts w:hint="eastAsia" w:cs="宋体"/>
                <w:color w:val="auto"/>
                <w:spacing w:val="-10"/>
              </w:rPr>
              <w:t>：</w:t>
            </w:r>
            <w:r>
              <w:rPr>
                <w:color w:val="auto"/>
                <w:spacing w:val="-10"/>
              </w:rPr>
              <w:t xml:space="preserve"> 1000</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rPr>
                <w:rFonts w:cs="Times New Roman"/>
                <w:color w:val="auto"/>
              </w:rPr>
            </w:pPr>
            <w:r>
              <w:rPr>
                <w:color w:val="auto"/>
              </w:rPr>
              <w:t>km²</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9" w:type="dxa"/>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vAlign w:val="center"/>
          </w:tcPr>
          <w:p>
            <w:pPr>
              <w:widowControl/>
              <w:rPr>
                <w:rFonts w:cs="Times New Roman"/>
                <w:color w:val="auto"/>
              </w:rPr>
            </w:pPr>
          </w:p>
        </w:tc>
      </w:tr>
      <w:tr>
        <w:tblPrEx>
          <w:tblCellMar>
            <w:top w:w="0" w:type="dxa"/>
            <w:left w:w="0" w:type="dxa"/>
            <w:bottom w:w="0" w:type="dxa"/>
            <w:right w:w="0" w:type="dxa"/>
          </w:tblCellMar>
        </w:tblPrEx>
        <w:trPr>
          <w:trHeight w:val="427" w:hRule="atLeast"/>
        </w:trPr>
        <w:tc>
          <w:tcPr>
            <w:tcW w:w="1465"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spacing w:line="200" w:lineRule="atLeast"/>
              <w:jc w:val="left"/>
              <w:rPr>
                <w:rFonts w:cs="Times New Roman"/>
                <w:color w:val="auto"/>
              </w:rPr>
            </w:pPr>
            <w:r>
              <w:rPr>
                <w:color w:val="auto"/>
                <w:spacing w:val="-10"/>
              </w:rPr>
              <w:t>-4</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spacing w:line="200" w:lineRule="atLeast"/>
              <w:ind w:left="220" w:hanging="220"/>
              <w:jc w:val="left"/>
              <w:rPr>
                <w:rFonts w:cs="Times New Roman"/>
                <w:color w:val="auto"/>
              </w:rPr>
            </w:pPr>
            <w:r>
              <w:rPr>
                <w:color w:val="auto"/>
                <w:spacing w:val="-10"/>
              </w:rPr>
              <w:t>1</w:t>
            </w:r>
            <w:r>
              <w:rPr>
                <w:rFonts w:hint="eastAsia" w:cs="宋体"/>
                <w:color w:val="auto"/>
                <w:spacing w:val="-10"/>
              </w:rPr>
              <w:t>：</w:t>
            </w:r>
            <w:r>
              <w:rPr>
                <w:color w:val="auto"/>
                <w:spacing w:val="-10"/>
              </w:rPr>
              <w:t xml:space="preserve"> 2000</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rPr>
                <w:rFonts w:cs="Times New Roman"/>
                <w:color w:val="auto"/>
              </w:rPr>
            </w:pPr>
            <w:r>
              <w:rPr>
                <w:color w:val="auto"/>
              </w:rPr>
              <w:t>km²</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9" w:type="dxa"/>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vAlign w:val="center"/>
          </w:tcPr>
          <w:p>
            <w:pPr>
              <w:widowControl/>
              <w:rPr>
                <w:rFonts w:cs="Times New Roman"/>
                <w:color w:val="auto"/>
              </w:rPr>
            </w:pPr>
          </w:p>
        </w:tc>
      </w:tr>
      <w:tr>
        <w:tblPrEx>
          <w:tblCellMar>
            <w:top w:w="0" w:type="dxa"/>
            <w:left w:w="0" w:type="dxa"/>
            <w:bottom w:w="0" w:type="dxa"/>
            <w:right w:w="0" w:type="dxa"/>
          </w:tblCellMar>
        </w:tblPrEx>
        <w:trPr>
          <w:trHeight w:val="432" w:hRule="atLeast"/>
        </w:trPr>
        <w:tc>
          <w:tcPr>
            <w:tcW w:w="1465"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9" w:type="dxa"/>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vAlign w:val="center"/>
          </w:tcPr>
          <w:p>
            <w:pPr>
              <w:widowControl/>
              <w:rPr>
                <w:rFonts w:cs="Times New Roman"/>
                <w:color w:val="auto"/>
              </w:rPr>
            </w:pPr>
          </w:p>
        </w:tc>
      </w:tr>
      <w:tr>
        <w:tblPrEx>
          <w:tblCellMar>
            <w:top w:w="0" w:type="dxa"/>
            <w:left w:w="0" w:type="dxa"/>
            <w:bottom w:w="0" w:type="dxa"/>
            <w:right w:w="0" w:type="dxa"/>
          </w:tblCellMar>
        </w:tblPrEx>
        <w:trPr>
          <w:trHeight w:val="432" w:hRule="atLeast"/>
        </w:trPr>
        <w:tc>
          <w:tcPr>
            <w:tcW w:w="1465"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spacing w:line="190" w:lineRule="atLeast"/>
              <w:jc w:val="left"/>
              <w:rPr>
                <w:rFonts w:cs="Times New Roman"/>
                <w:color w:val="auto"/>
              </w:rPr>
            </w:pPr>
            <w:r>
              <w:rPr>
                <w:color w:val="auto"/>
              </w:rPr>
              <w:t>4</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spacing w:line="200" w:lineRule="atLeast"/>
              <w:ind w:left="220" w:hanging="220"/>
              <w:jc w:val="left"/>
              <w:rPr>
                <w:rFonts w:cs="Times New Roman"/>
                <w:color w:val="auto"/>
              </w:rPr>
            </w:pPr>
            <w:r>
              <w:rPr>
                <w:rFonts w:hint="eastAsia" w:cs="宋体"/>
                <w:color w:val="auto"/>
              </w:rPr>
              <w:t>航空测绘</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jc w:val="left"/>
              <w:rPr>
                <w:rFonts w:cs="Times New Roman"/>
                <w:color w:val="auto"/>
              </w:rPr>
            </w:pP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9" w:type="dxa"/>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vAlign w:val="center"/>
          </w:tcPr>
          <w:p>
            <w:pPr>
              <w:widowControl/>
              <w:rPr>
                <w:rFonts w:cs="Times New Roman"/>
                <w:color w:val="auto"/>
              </w:rPr>
            </w:pPr>
          </w:p>
        </w:tc>
      </w:tr>
      <w:tr>
        <w:tblPrEx>
          <w:tblCellMar>
            <w:top w:w="0" w:type="dxa"/>
            <w:left w:w="0" w:type="dxa"/>
            <w:bottom w:w="0" w:type="dxa"/>
            <w:right w:w="0" w:type="dxa"/>
          </w:tblCellMar>
        </w:tblPrEx>
        <w:trPr>
          <w:trHeight w:val="427" w:hRule="atLeast"/>
        </w:trPr>
        <w:tc>
          <w:tcPr>
            <w:tcW w:w="1465"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spacing w:line="190" w:lineRule="atLeast"/>
              <w:jc w:val="left"/>
              <w:rPr>
                <w:rFonts w:cs="Times New Roman"/>
                <w:color w:val="auto"/>
              </w:rPr>
            </w:pPr>
            <w:r>
              <w:rPr>
                <w:color w:val="auto"/>
              </w:rPr>
              <w:t>-1</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spacing w:line="200" w:lineRule="atLeast"/>
              <w:ind w:left="220" w:hanging="220"/>
              <w:jc w:val="left"/>
              <w:rPr>
                <w:rFonts w:cs="Times New Roman"/>
                <w:color w:val="auto"/>
              </w:rPr>
            </w:pPr>
            <w:r>
              <w:rPr>
                <w:color w:val="auto"/>
                <w:spacing w:val="-10"/>
              </w:rPr>
              <w:t>1:  500</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rPr>
                <w:rFonts w:cs="Times New Roman"/>
                <w:color w:val="auto"/>
              </w:rPr>
            </w:pPr>
            <w:r>
              <w:rPr>
                <w:color w:val="auto"/>
              </w:rPr>
              <w:t>km²</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9" w:type="dxa"/>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vAlign w:val="center"/>
          </w:tcPr>
          <w:p>
            <w:pPr>
              <w:widowControl/>
              <w:rPr>
                <w:rFonts w:cs="Times New Roman"/>
                <w:color w:val="auto"/>
              </w:rPr>
            </w:pPr>
          </w:p>
        </w:tc>
      </w:tr>
      <w:tr>
        <w:tblPrEx>
          <w:tblCellMar>
            <w:top w:w="0" w:type="dxa"/>
            <w:left w:w="0" w:type="dxa"/>
            <w:bottom w:w="0" w:type="dxa"/>
            <w:right w:w="0" w:type="dxa"/>
          </w:tblCellMar>
        </w:tblPrEx>
        <w:trPr>
          <w:trHeight w:val="432" w:hRule="atLeast"/>
        </w:trPr>
        <w:tc>
          <w:tcPr>
            <w:tcW w:w="1465"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spacing w:line="200" w:lineRule="atLeast"/>
              <w:jc w:val="left"/>
              <w:rPr>
                <w:rFonts w:cs="Times New Roman"/>
                <w:color w:val="auto"/>
              </w:rPr>
            </w:pPr>
            <w:r>
              <w:rPr>
                <w:color w:val="auto"/>
                <w:spacing w:val="-10"/>
              </w:rPr>
              <w:t>-2</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spacing w:line="200" w:lineRule="atLeast"/>
              <w:ind w:left="220" w:hanging="220"/>
              <w:jc w:val="left"/>
              <w:rPr>
                <w:rFonts w:cs="Times New Roman"/>
                <w:color w:val="auto"/>
              </w:rPr>
            </w:pPr>
            <w:r>
              <w:rPr>
                <w:color w:val="auto"/>
                <w:spacing w:val="-10"/>
              </w:rPr>
              <w:t>1</w:t>
            </w:r>
            <w:r>
              <w:rPr>
                <w:rFonts w:hint="eastAsia" w:cs="宋体"/>
                <w:color w:val="auto"/>
                <w:spacing w:val="-10"/>
              </w:rPr>
              <w:t>：</w:t>
            </w:r>
            <w:r>
              <w:rPr>
                <w:color w:val="auto"/>
                <w:spacing w:val="-10"/>
              </w:rPr>
              <w:t xml:space="preserve"> 1000</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rPr>
                <w:rFonts w:cs="Times New Roman"/>
                <w:color w:val="auto"/>
              </w:rPr>
            </w:pPr>
            <w:r>
              <w:rPr>
                <w:color w:val="auto"/>
              </w:rPr>
              <w:t>km²</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9" w:type="dxa"/>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vAlign w:val="center"/>
          </w:tcPr>
          <w:p>
            <w:pPr>
              <w:widowControl/>
              <w:rPr>
                <w:rFonts w:cs="Times New Roman"/>
                <w:color w:val="auto"/>
              </w:rPr>
            </w:pPr>
          </w:p>
        </w:tc>
      </w:tr>
      <w:tr>
        <w:tblPrEx>
          <w:tblCellMar>
            <w:top w:w="0" w:type="dxa"/>
            <w:left w:w="0" w:type="dxa"/>
            <w:bottom w:w="0" w:type="dxa"/>
            <w:right w:w="0" w:type="dxa"/>
          </w:tblCellMar>
        </w:tblPrEx>
        <w:trPr>
          <w:trHeight w:val="437" w:hRule="atLeast"/>
        </w:trPr>
        <w:tc>
          <w:tcPr>
            <w:tcW w:w="1465" w:type="dxa"/>
            <w:tcBorders>
              <w:top w:val="single" w:color="000000" w:sz="4" w:space="0"/>
              <w:left w:val="single" w:color="000000" w:sz="4" w:space="0"/>
              <w:bottom w:val="single" w:color="000000" w:sz="4" w:space="0"/>
              <w:right w:val="nil"/>
            </w:tcBorders>
            <w:shd w:val="clear" w:color="auto" w:fill="FFFFFF"/>
            <w:tcMar>
              <w:top w:w="0" w:type="dxa"/>
              <w:left w:w="31" w:type="dxa"/>
              <w:bottom w:w="0" w:type="dxa"/>
              <w:right w:w="0" w:type="dxa"/>
            </w:tcMar>
            <w:vAlign w:val="center"/>
          </w:tcPr>
          <w:p>
            <w:pPr>
              <w:widowControl/>
              <w:shd w:val="clear" w:color="auto" w:fill="FFFFFF"/>
              <w:spacing w:line="200" w:lineRule="atLeast"/>
              <w:jc w:val="left"/>
              <w:rPr>
                <w:rFonts w:cs="Times New Roman"/>
                <w:color w:val="auto"/>
              </w:rPr>
            </w:pPr>
            <w:r>
              <w:rPr>
                <w:color w:val="auto"/>
                <w:spacing w:val="-10"/>
              </w:rPr>
              <w:t>-3</w:t>
            </w:r>
          </w:p>
        </w:tc>
        <w:tc>
          <w:tcPr>
            <w:tcW w:w="1464" w:type="dxa"/>
            <w:tcBorders>
              <w:top w:val="single" w:color="000000" w:sz="4" w:space="0"/>
              <w:left w:val="single" w:color="000000" w:sz="4" w:space="0"/>
              <w:bottom w:val="single" w:color="000000" w:sz="4" w:space="0"/>
              <w:right w:val="nil"/>
            </w:tcBorders>
            <w:shd w:val="clear" w:color="auto" w:fill="FFFFFF"/>
            <w:tcMar>
              <w:top w:w="0" w:type="dxa"/>
              <w:left w:w="31" w:type="dxa"/>
              <w:bottom w:w="0" w:type="dxa"/>
              <w:right w:w="0" w:type="dxa"/>
            </w:tcMar>
            <w:vAlign w:val="center"/>
          </w:tcPr>
          <w:p>
            <w:pPr>
              <w:widowControl/>
              <w:shd w:val="clear" w:color="auto" w:fill="FFFFFF"/>
              <w:spacing w:line="200" w:lineRule="atLeast"/>
              <w:ind w:left="220" w:hanging="220"/>
              <w:jc w:val="left"/>
              <w:rPr>
                <w:rFonts w:cs="Times New Roman"/>
                <w:color w:val="auto"/>
              </w:rPr>
            </w:pPr>
            <w:r>
              <w:rPr>
                <w:color w:val="auto"/>
                <w:spacing w:val="-10"/>
              </w:rPr>
              <w:t>1</w:t>
            </w:r>
            <w:r>
              <w:rPr>
                <w:rFonts w:hint="eastAsia" w:cs="宋体"/>
                <w:color w:val="auto"/>
                <w:spacing w:val="-10"/>
              </w:rPr>
              <w:t>：</w:t>
            </w:r>
            <w:r>
              <w:rPr>
                <w:color w:val="auto"/>
                <w:spacing w:val="-10"/>
              </w:rPr>
              <w:t xml:space="preserve"> 2000</w:t>
            </w:r>
          </w:p>
        </w:tc>
        <w:tc>
          <w:tcPr>
            <w:tcW w:w="1464" w:type="dxa"/>
            <w:tcBorders>
              <w:top w:val="single" w:color="000000" w:sz="4" w:space="0"/>
              <w:left w:val="single" w:color="000000" w:sz="4" w:space="0"/>
              <w:bottom w:val="single" w:color="000000" w:sz="4" w:space="0"/>
              <w:right w:val="nil"/>
            </w:tcBorders>
            <w:shd w:val="clear" w:color="auto" w:fill="FFFFFF"/>
            <w:tcMar>
              <w:top w:w="0" w:type="dxa"/>
              <w:left w:w="31" w:type="dxa"/>
              <w:bottom w:w="0" w:type="dxa"/>
              <w:right w:w="0" w:type="dxa"/>
            </w:tcMar>
            <w:vAlign w:val="center"/>
          </w:tcPr>
          <w:p>
            <w:pPr>
              <w:rPr>
                <w:rFonts w:cs="Times New Roman"/>
                <w:color w:val="auto"/>
              </w:rPr>
            </w:pPr>
            <w:r>
              <w:rPr>
                <w:color w:val="auto"/>
              </w:rPr>
              <w:t>km²</w:t>
            </w:r>
          </w:p>
        </w:tc>
        <w:tc>
          <w:tcPr>
            <w:tcW w:w="1464" w:type="dxa"/>
            <w:tcBorders>
              <w:top w:val="single" w:color="000000" w:sz="4" w:space="0"/>
              <w:left w:val="single" w:color="000000" w:sz="4" w:space="0"/>
              <w:bottom w:val="single" w:color="000000" w:sz="4" w:space="0"/>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4" w:type="dxa"/>
            <w:tcBorders>
              <w:top w:val="single" w:color="000000" w:sz="4" w:space="0"/>
              <w:left w:val="single" w:color="000000" w:sz="4" w:space="0"/>
              <w:bottom w:val="single" w:color="000000" w:sz="4" w:space="0"/>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9" w:type="dxa"/>
            <w:tcBorders>
              <w:top w:val="single" w:color="000000" w:sz="4" w:space="0"/>
              <w:left w:val="single" w:color="000000" w:sz="4" w:space="0"/>
              <w:bottom w:val="single" w:color="000000" w:sz="4" w:space="0"/>
              <w:right w:val="single" w:color="000000" w:sz="4" w:space="0"/>
            </w:tcBorders>
            <w:shd w:val="clear" w:color="auto" w:fill="FFFFFF"/>
            <w:tcMar>
              <w:top w:w="0" w:type="dxa"/>
              <w:left w:w="31" w:type="dxa"/>
              <w:bottom w:w="0" w:type="dxa"/>
              <w:right w:w="0" w:type="dxa"/>
            </w:tcMar>
            <w:vAlign w:val="center"/>
          </w:tcPr>
          <w:p>
            <w:pPr>
              <w:widowControl/>
              <w:rPr>
                <w:rFonts w:cs="Times New Roman"/>
                <w:color w:val="auto"/>
              </w:rPr>
            </w:pPr>
          </w:p>
        </w:tc>
      </w:tr>
    </w:tbl>
    <w:p>
      <w:pPr>
        <w:snapToGrid w:val="0"/>
        <w:spacing w:line="360" w:lineRule="auto"/>
        <w:jc w:val="center"/>
        <w:rPr>
          <w:rFonts w:ascii="黑体" w:hAnsi="黑体" w:eastAsia="黑体" w:cs="Times New Roman"/>
          <w:color w:val="auto"/>
          <w:sz w:val="30"/>
          <w:szCs w:val="30"/>
        </w:rPr>
      </w:pPr>
    </w:p>
    <w:tbl>
      <w:tblPr>
        <w:tblStyle w:val="20"/>
        <w:tblW w:w="8790" w:type="dxa"/>
        <w:jc w:val="center"/>
        <w:tblLayout w:type="fixed"/>
        <w:tblCellMar>
          <w:top w:w="0" w:type="dxa"/>
          <w:left w:w="0" w:type="dxa"/>
          <w:bottom w:w="0" w:type="dxa"/>
          <w:right w:w="0" w:type="dxa"/>
        </w:tblCellMar>
      </w:tblPr>
      <w:tblGrid>
        <w:gridCol w:w="1465"/>
        <w:gridCol w:w="1464"/>
        <w:gridCol w:w="1464"/>
        <w:gridCol w:w="1464"/>
        <w:gridCol w:w="1464"/>
        <w:gridCol w:w="1469"/>
      </w:tblGrid>
      <w:tr>
        <w:tblPrEx>
          <w:tblCellMar>
            <w:top w:w="0" w:type="dxa"/>
            <w:left w:w="0" w:type="dxa"/>
            <w:bottom w:w="0" w:type="dxa"/>
            <w:right w:w="0" w:type="dxa"/>
          </w:tblCellMar>
        </w:tblPrEx>
        <w:trPr>
          <w:trHeight w:val="437" w:hRule="atLeast"/>
          <w:jc w:val="center"/>
        </w:trPr>
        <w:tc>
          <w:tcPr>
            <w:tcW w:w="1465"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color w:val="auto"/>
              </w:rPr>
            </w:pPr>
            <w:r>
              <w:rPr>
                <w:color w:val="auto"/>
              </w:rPr>
              <w:t>…</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color w:val="auto"/>
              </w:rPr>
            </w:pP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color w:val="auto"/>
              </w:rPr>
            </w:pP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color w:val="auto"/>
              </w:rPr>
            </w:pPr>
          </w:p>
        </w:tc>
        <w:tc>
          <w:tcPr>
            <w:tcW w:w="1469" w:type="dxa"/>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vAlign w:val="center"/>
          </w:tcPr>
          <w:p>
            <w:pPr>
              <w:widowControl/>
              <w:rPr>
                <w:color w:val="auto"/>
              </w:rPr>
            </w:pPr>
          </w:p>
        </w:tc>
      </w:tr>
      <w:tr>
        <w:tblPrEx>
          <w:tblCellMar>
            <w:top w:w="0" w:type="dxa"/>
            <w:left w:w="0" w:type="dxa"/>
            <w:bottom w:w="0" w:type="dxa"/>
            <w:right w:w="0" w:type="dxa"/>
          </w:tblCellMar>
        </w:tblPrEx>
        <w:trPr>
          <w:trHeight w:val="427" w:hRule="atLeast"/>
          <w:jc w:val="center"/>
        </w:trPr>
        <w:tc>
          <w:tcPr>
            <w:tcW w:w="1465"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spacing w:line="190" w:lineRule="atLeast"/>
              <w:rPr>
                <w:rFonts w:cs="Times New Roman"/>
                <w:color w:val="auto"/>
              </w:rPr>
            </w:pPr>
            <w:r>
              <w:rPr>
                <w:color w:val="auto"/>
              </w:rPr>
              <w:t>5</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spacing w:line="200" w:lineRule="atLeast"/>
              <w:rPr>
                <w:rFonts w:cs="Times New Roman"/>
                <w:color w:val="auto"/>
              </w:rPr>
            </w:pPr>
            <w:r>
              <w:rPr>
                <w:rFonts w:hint="eastAsia" w:cs="宋体"/>
                <w:color w:val="auto"/>
                <w:spacing w:val="-10"/>
              </w:rPr>
              <w:t>勘探</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9" w:type="dxa"/>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vAlign w:val="center"/>
          </w:tcPr>
          <w:p>
            <w:pPr>
              <w:widowControl/>
              <w:rPr>
                <w:rFonts w:cs="Times New Roman"/>
                <w:color w:val="auto"/>
              </w:rPr>
            </w:pPr>
          </w:p>
        </w:tc>
      </w:tr>
      <w:tr>
        <w:tblPrEx>
          <w:tblCellMar>
            <w:top w:w="0" w:type="dxa"/>
            <w:left w:w="0" w:type="dxa"/>
            <w:bottom w:w="0" w:type="dxa"/>
            <w:right w:w="0" w:type="dxa"/>
          </w:tblCellMar>
        </w:tblPrEx>
        <w:trPr>
          <w:trHeight w:val="432" w:hRule="atLeast"/>
          <w:jc w:val="center"/>
        </w:trPr>
        <w:tc>
          <w:tcPr>
            <w:tcW w:w="1465"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spacing w:line="200" w:lineRule="atLeast"/>
              <w:rPr>
                <w:rFonts w:cs="Times New Roman"/>
                <w:color w:val="auto"/>
              </w:rPr>
            </w:pPr>
            <w:r>
              <w:rPr>
                <w:color w:val="auto"/>
                <w:spacing w:val="-10"/>
              </w:rPr>
              <w:t>-1</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spacing w:line="190" w:lineRule="atLeast"/>
              <w:rPr>
                <w:rFonts w:cs="Times New Roman"/>
                <w:color w:val="auto"/>
              </w:rPr>
            </w:pPr>
            <w:r>
              <w:rPr>
                <w:rFonts w:hint="eastAsia" w:cs="宋体"/>
                <w:color w:val="auto"/>
              </w:rPr>
              <w:t>钻孔</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spacing w:line="200" w:lineRule="atLeast"/>
              <w:rPr>
                <w:rFonts w:cs="Times New Roman"/>
                <w:color w:val="auto"/>
              </w:rPr>
            </w:pPr>
            <w:r>
              <w:rPr>
                <w:color w:val="auto"/>
              </w:rPr>
              <w:t>m</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9" w:type="dxa"/>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vAlign w:val="center"/>
          </w:tcPr>
          <w:p>
            <w:pPr>
              <w:widowControl/>
              <w:rPr>
                <w:rFonts w:cs="Times New Roman"/>
                <w:color w:val="auto"/>
              </w:rPr>
            </w:pPr>
          </w:p>
        </w:tc>
      </w:tr>
      <w:tr>
        <w:tblPrEx>
          <w:tblCellMar>
            <w:top w:w="0" w:type="dxa"/>
            <w:left w:w="0" w:type="dxa"/>
            <w:bottom w:w="0" w:type="dxa"/>
            <w:right w:w="0" w:type="dxa"/>
          </w:tblCellMar>
        </w:tblPrEx>
        <w:trPr>
          <w:trHeight w:val="427" w:hRule="atLeast"/>
          <w:jc w:val="center"/>
        </w:trPr>
        <w:tc>
          <w:tcPr>
            <w:tcW w:w="1465"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spacing w:line="200" w:lineRule="atLeast"/>
              <w:rPr>
                <w:rFonts w:cs="Times New Roman"/>
                <w:color w:val="auto"/>
              </w:rPr>
            </w:pPr>
            <w:r>
              <w:rPr>
                <w:color w:val="auto"/>
                <w:spacing w:val="-10"/>
              </w:rPr>
              <w:t>-2</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spacing w:line="190" w:lineRule="atLeast"/>
              <w:rPr>
                <w:rFonts w:cs="Times New Roman"/>
                <w:color w:val="auto"/>
              </w:rPr>
            </w:pPr>
            <w:r>
              <w:rPr>
                <w:rFonts w:hint="eastAsia" w:cs="宋体"/>
                <w:color w:val="auto"/>
              </w:rPr>
              <w:t>井探</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spacing w:line="200" w:lineRule="atLeast"/>
              <w:rPr>
                <w:rFonts w:cs="Times New Roman"/>
                <w:color w:val="auto"/>
              </w:rPr>
            </w:pPr>
            <w:r>
              <w:rPr>
                <w:color w:val="auto"/>
              </w:rPr>
              <w:t>m</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9" w:type="dxa"/>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vAlign w:val="center"/>
          </w:tcPr>
          <w:p>
            <w:pPr>
              <w:widowControl/>
              <w:rPr>
                <w:rFonts w:cs="Times New Roman"/>
                <w:color w:val="auto"/>
              </w:rPr>
            </w:pPr>
          </w:p>
        </w:tc>
      </w:tr>
      <w:tr>
        <w:tblPrEx>
          <w:tblCellMar>
            <w:top w:w="0" w:type="dxa"/>
            <w:left w:w="0" w:type="dxa"/>
            <w:bottom w:w="0" w:type="dxa"/>
            <w:right w:w="0" w:type="dxa"/>
          </w:tblCellMar>
        </w:tblPrEx>
        <w:trPr>
          <w:trHeight w:val="432" w:hRule="atLeast"/>
          <w:jc w:val="center"/>
        </w:trPr>
        <w:tc>
          <w:tcPr>
            <w:tcW w:w="1465"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spacing w:line="200" w:lineRule="atLeast"/>
              <w:rPr>
                <w:rFonts w:cs="Times New Roman"/>
                <w:color w:val="auto"/>
              </w:rPr>
            </w:pPr>
            <w:r>
              <w:rPr>
                <w:color w:val="auto"/>
                <w:spacing w:val="-10"/>
              </w:rPr>
              <w:t>-3</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spacing w:line="190" w:lineRule="atLeast"/>
              <w:rPr>
                <w:rFonts w:cs="Times New Roman"/>
                <w:color w:val="auto"/>
              </w:rPr>
            </w:pPr>
            <w:r>
              <w:rPr>
                <w:rFonts w:hint="eastAsia" w:cs="宋体"/>
                <w:color w:val="auto"/>
              </w:rPr>
              <w:t>槽探</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spacing w:line="200" w:lineRule="atLeast"/>
              <w:rPr>
                <w:rFonts w:cs="Times New Roman"/>
                <w:color w:val="auto"/>
              </w:rPr>
            </w:pPr>
            <w:r>
              <w:rPr>
                <w:color w:val="auto"/>
              </w:rPr>
              <w:t>m</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9" w:type="dxa"/>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vAlign w:val="center"/>
          </w:tcPr>
          <w:p>
            <w:pPr>
              <w:widowControl/>
              <w:rPr>
                <w:rFonts w:cs="Times New Roman"/>
                <w:color w:val="auto"/>
              </w:rPr>
            </w:pPr>
          </w:p>
        </w:tc>
      </w:tr>
      <w:tr>
        <w:tblPrEx>
          <w:tblCellMar>
            <w:top w:w="0" w:type="dxa"/>
            <w:left w:w="0" w:type="dxa"/>
            <w:bottom w:w="0" w:type="dxa"/>
            <w:right w:w="0" w:type="dxa"/>
          </w:tblCellMar>
        </w:tblPrEx>
        <w:trPr>
          <w:trHeight w:val="432" w:hRule="atLeast"/>
          <w:jc w:val="center"/>
        </w:trPr>
        <w:tc>
          <w:tcPr>
            <w:tcW w:w="1465"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spacing w:line="200" w:lineRule="atLeast"/>
              <w:rPr>
                <w:rFonts w:cs="Times New Roman"/>
                <w:color w:val="auto"/>
              </w:rPr>
            </w:pPr>
            <w:r>
              <w:rPr>
                <w:color w:val="auto"/>
                <w:spacing w:val="-10"/>
              </w:rPr>
              <w:t>-4</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spacing w:line="190" w:lineRule="atLeast"/>
              <w:rPr>
                <w:rFonts w:cs="Times New Roman"/>
                <w:color w:val="auto"/>
              </w:rPr>
            </w:pPr>
            <w:r>
              <w:rPr>
                <w:rFonts w:hint="eastAsia" w:cs="宋体"/>
                <w:color w:val="auto"/>
              </w:rPr>
              <w:t>洞探</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spacing w:line="200" w:lineRule="atLeast"/>
              <w:rPr>
                <w:rFonts w:cs="Times New Roman"/>
                <w:color w:val="auto"/>
              </w:rPr>
            </w:pPr>
            <w:r>
              <w:rPr>
                <w:color w:val="auto"/>
              </w:rPr>
              <w:t>m</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9" w:type="dxa"/>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vAlign w:val="center"/>
          </w:tcPr>
          <w:p>
            <w:pPr>
              <w:widowControl/>
              <w:rPr>
                <w:rFonts w:cs="Times New Roman"/>
                <w:color w:val="auto"/>
              </w:rPr>
            </w:pPr>
          </w:p>
        </w:tc>
      </w:tr>
      <w:tr>
        <w:tblPrEx>
          <w:tblCellMar>
            <w:top w:w="0" w:type="dxa"/>
            <w:left w:w="0" w:type="dxa"/>
            <w:bottom w:w="0" w:type="dxa"/>
            <w:right w:w="0" w:type="dxa"/>
          </w:tblCellMar>
        </w:tblPrEx>
        <w:trPr>
          <w:trHeight w:val="427" w:hRule="atLeast"/>
          <w:jc w:val="center"/>
        </w:trPr>
        <w:tc>
          <w:tcPr>
            <w:tcW w:w="1465"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spacing w:line="200" w:lineRule="atLeast"/>
              <w:rPr>
                <w:rFonts w:cs="Times New Roman"/>
                <w:color w:val="auto"/>
              </w:rPr>
            </w:pPr>
            <w:r>
              <w:rPr>
                <w:color w:val="auto"/>
                <w:spacing w:val="-10"/>
              </w:rPr>
              <w:t>-5</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spacing w:line="190" w:lineRule="atLeast"/>
              <w:rPr>
                <w:rFonts w:cs="Times New Roman"/>
                <w:color w:val="auto"/>
              </w:rPr>
            </w:pPr>
            <w:r>
              <w:rPr>
                <w:rFonts w:hint="eastAsia" w:cs="宋体"/>
                <w:color w:val="auto"/>
              </w:rPr>
              <w:t>标准贯入试验</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spacing w:line="200" w:lineRule="atLeast"/>
              <w:rPr>
                <w:rFonts w:cs="Times New Roman"/>
                <w:color w:val="auto"/>
              </w:rPr>
            </w:pPr>
            <w:r>
              <w:rPr>
                <w:color w:val="auto"/>
              </w:rPr>
              <w:t>m</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9" w:type="dxa"/>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vAlign w:val="center"/>
          </w:tcPr>
          <w:p>
            <w:pPr>
              <w:widowControl/>
              <w:rPr>
                <w:rFonts w:cs="Times New Roman"/>
                <w:color w:val="auto"/>
              </w:rPr>
            </w:pPr>
          </w:p>
        </w:tc>
      </w:tr>
      <w:tr>
        <w:tblPrEx>
          <w:tblCellMar>
            <w:top w:w="0" w:type="dxa"/>
            <w:left w:w="0" w:type="dxa"/>
            <w:bottom w:w="0" w:type="dxa"/>
            <w:right w:w="0" w:type="dxa"/>
          </w:tblCellMar>
        </w:tblPrEx>
        <w:trPr>
          <w:trHeight w:val="432" w:hRule="atLeast"/>
          <w:jc w:val="center"/>
        </w:trPr>
        <w:tc>
          <w:tcPr>
            <w:tcW w:w="1465"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spacing w:line="200" w:lineRule="atLeast"/>
              <w:rPr>
                <w:rFonts w:cs="Times New Roman"/>
                <w:color w:val="auto"/>
              </w:rPr>
            </w:pPr>
            <w:r>
              <w:rPr>
                <w:color w:val="auto"/>
                <w:spacing w:val="-10"/>
              </w:rPr>
              <w:t>-6</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spacing w:line="190" w:lineRule="atLeast"/>
              <w:rPr>
                <w:rFonts w:cs="Times New Roman"/>
                <w:color w:val="auto"/>
              </w:rPr>
            </w:pPr>
            <w:r>
              <w:rPr>
                <w:rFonts w:hint="eastAsia" w:cs="宋体"/>
                <w:color w:val="auto"/>
              </w:rPr>
              <w:t>动力触探</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spacing w:line="200" w:lineRule="atLeast"/>
              <w:rPr>
                <w:rFonts w:cs="Times New Roman"/>
                <w:color w:val="auto"/>
              </w:rPr>
            </w:pPr>
            <w:r>
              <w:rPr>
                <w:color w:val="auto"/>
              </w:rPr>
              <w:t>m</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9" w:type="dxa"/>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vAlign w:val="center"/>
          </w:tcPr>
          <w:p>
            <w:pPr>
              <w:widowControl/>
              <w:rPr>
                <w:rFonts w:cs="Times New Roman"/>
                <w:color w:val="auto"/>
              </w:rPr>
            </w:pPr>
          </w:p>
        </w:tc>
      </w:tr>
      <w:tr>
        <w:tblPrEx>
          <w:tblCellMar>
            <w:top w:w="0" w:type="dxa"/>
            <w:left w:w="0" w:type="dxa"/>
            <w:bottom w:w="0" w:type="dxa"/>
            <w:right w:w="0" w:type="dxa"/>
          </w:tblCellMar>
        </w:tblPrEx>
        <w:trPr>
          <w:trHeight w:val="427" w:hRule="atLeast"/>
          <w:jc w:val="center"/>
        </w:trPr>
        <w:tc>
          <w:tcPr>
            <w:tcW w:w="1465"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spacing w:line="200" w:lineRule="atLeast"/>
              <w:rPr>
                <w:rFonts w:cs="Times New Roman"/>
                <w:color w:val="auto"/>
              </w:rPr>
            </w:pPr>
            <w:r>
              <w:rPr>
                <w:color w:val="auto"/>
                <w:spacing w:val="-10"/>
              </w:rPr>
              <w:t>-7</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spacing w:line="190" w:lineRule="atLeast"/>
              <w:rPr>
                <w:rFonts w:cs="Times New Roman"/>
                <w:color w:val="auto"/>
              </w:rPr>
            </w:pPr>
            <w:r>
              <w:rPr>
                <w:rFonts w:hint="eastAsia" w:cs="宋体"/>
                <w:color w:val="auto"/>
              </w:rPr>
              <w:t>静力触探</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spacing w:line="200" w:lineRule="atLeast"/>
              <w:rPr>
                <w:rFonts w:cs="Times New Roman"/>
                <w:color w:val="auto"/>
              </w:rPr>
            </w:pPr>
            <w:r>
              <w:rPr>
                <w:color w:val="auto"/>
              </w:rPr>
              <w:t>m</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9" w:type="dxa"/>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vAlign w:val="center"/>
          </w:tcPr>
          <w:p>
            <w:pPr>
              <w:widowControl/>
              <w:rPr>
                <w:rFonts w:cs="Times New Roman"/>
                <w:color w:val="auto"/>
              </w:rPr>
            </w:pPr>
          </w:p>
        </w:tc>
      </w:tr>
      <w:tr>
        <w:tblPrEx>
          <w:tblCellMar>
            <w:top w:w="0" w:type="dxa"/>
            <w:left w:w="0" w:type="dxa"/>
            <w:bottom w:w="0" w:type="dxa"/>
            <w:right w:w="0" w:type="dxa"/>
          </w:tblCellMar>
        </w:tblPrEx>
        <w:trPr>
          <w:trHeight w:val="432" w:hRule="atLeast"/>
          <w:jc w:val="center"/>
        </w:trPr>
        <w:tc>
          <w:tcPr>
            <w:tcW w:w="1465"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spacing w:line="200" w:lineRule="atLeast"/>
              <w:rPr>
                <w:rFonts w:cs="Times New Roman"/>
                <w:color w:val="auto"/>
              </w:rPr>
            </w:pPr>
            <w:r>
              <w:rPr>
                <w:color w:val="auto"/>
                <w:spacing w:val="-10"/>
              </w:rPr>
              <w:t>-8</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spacing w:line="190" w:lineRule="atLeast"/>
              <w:rPr>
                <w:rFonts w:cs="Times New Roman"/>
                <w:color w:val="auto"/>
              </w:rPr>
            </w:pPr>
            <w:r>
              <w:rPr>
                <w:rFonts w:hint="eastAsia" w:cs="宋体"/>
                <w:color w:val="auto"/>
              </w:rPr>
              <w:t>地质雷达</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spacing w:line="190" w:lineRule="atLeast"/>
              <w:rPr>
                <w:rFonts w:cs="Times New Roman"/>
                <w:color w:val="auto"/>
              </w:rPr>
            </w:pPr>
            <w:r>
              <w:rPr>
                <w:rFonts w:hint="eastAsia" w:cs="宋体"/>
                <w:color w:val="auto"/>
              </w:rPr>
              <w:t>点</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9" w:type="dxa"/>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vAlign w:val="center"/>
          </w:tcPr>
          <w:p>
            <w:pPr>
              <w:widowControl/>
              <w:rPr>
                <w:rFonts w:cs="Times New Roman"/>
                <w:color w:val="auto"/>
              </w:rPr>
            </w:pPr>
          </w:p>
        </w:tc>
      </w:tr>
      <w:tr>
        <w:tblPrEx>
          <w:tblCellMar>
            <w:top w:w="0" w:type="dxa"/>
            <w:left w:w="0" w:type="dxa"/>
            <w:bottom w:w="0" w:type="dxa"/>
            <w:right w:w="0" w:type="dxa"/>
          </w:tblCellMar>
        </w:tblPrEx>
        <w:trPr>
          <w:trHeight w:val="427" w:hRule="atLeast"/>
          <w:jc w:val="center"/>
        </w:trPr>
        <w:tc>
          <w:tcPr>
            <w:tcW w:w="1465"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spacing w:line="200" w:lineRule="atLeast"/>
              <w:rPr>
                <w:rFonts w:cs="Times New Roman"/>
                <w:color w:val="auto"/>
              </w:rPr>
            </w:pPr>
            <w:r>
              <w:rPr>
                <w:color w:val="auto"/>
                <w:spacing w:val="-10"/>
              </w:rPr>
              <w:t>-9</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spacing w:line="190" w:lineRule="atLeast"/>
              <w:rPr>
                <w:rFonts w:cs="Times New Roman"/>
                <w:color w:val="auto"/>
              </w:rPr>
            </w:pPr>
            <w:r>
              <w:rPr>
                <w:rFonts w:hint="eastAsia" w:cs="宋体"/>
                <w:color w:val="auto"/>
              </w:rPr>
              <w:t>地质雷达</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spacing w:line="200" w:lineRule="atLeast"/>
              <w:rPr>
                <w:rFonts w:cs="Times New Roman"/>
                <w:color w:val="auto"/>
              </w:rPr>
            </w:pPr>
            <w:r>
              <w:rPr>
                <w:color w:val="auto"/>
              </w:rPr>
              <w:t>km</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9" w:type="dxa"/>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vAlign w:val="center"/>
          </w:tcPr>
          <w:p>
            <w:pPr>
              <w:widowControl/>
              <w:rPr>
                <w:rFonts w:cs="Times New Roman"/>
                <w:color w:val="auto"/>
              </w:rPr>
            </w:pPr>
          </w:p>
        </w:tc>
      </w:tr>
      <w:tr>
        <w:tblPrEx>
          <w:tblCellMar>
            <w:top w:w="0" w:type="dxa"/>
            <w:left w:w="0" w:type="dxa"/>
            <w:bottom w:w="0" w:type="dxa"/>
            <w:right w:w="0" w:type="dxa"/>
          </w:tblCellMar>
        </w:tblPrEx>
        <w:trPr>
          <w:trHeight w:val="432" w:hRule="atLeast"/>
          <w:jc w:val="center"/>
        </w:trPr>
        <w:tc>
          <w:tcPr>
            <w:tcW w:w="1465"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spacing w:line="200" w:lineRule="atLeast"/>
              <w:rPr>
                <w:rFonts w:cs="Times New Roman"/>
                <w:color w:val="auto"/>
              </w:rPr>
            </w:pPr>
            <w:r>
              <w:rPr>
                <w:color w:val="auto"/>
                <w:spacing w:val="-10"/>
              </w:rPr>
              <w:t>-10</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spacing w:line="190" w:lineRule="atLeast"/>
              <w:rPr>
                <w:rFonts w:cs="Times New Roman"/>
                <w:color w:val="auto"/>
              </w:rPr>
            </w:pPr>
            <w:r>
              <w:rPr>
                <w:rFonts w:hint="eastAsia" w:cs="宋体"/>
                <w:color w:val="auto"/>
              </w:rPr>
              <w:t>物探</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9" w:type="dxa"/>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vAlign w:val="center"/>
          </w:tcPr>
          <w:p>
            <w:pPr>
              <w:widowControl/>
              <w:rPr>
                <w:rFonts w:cs="Times New Roman"/>
                <w:color w:val="auto"/>
              </w:rPr>
            </w:pPr>
          </w:p>
        </w:tc>
      </w:tr>
      <w:tr>
        <w:tblPrEx>
          <w:tblCellMar>
            <w:top w:w="0" w:type="dxa"/>
            <w:left w:w="0" w:type="dxa"/>
            <w:bottom w:w="0" w:type="dxa"/>
            <w:right w:w="0" w:type="dxa"/>
          </w:tblCellMar>
        </w:tblPrEx>
        <w:trPr>
          <w:trHeight w:val="432" w:hRule="atLeast"/>
          <w:jc w:val="center"/>
        </w:trPr>
        <w:tc>
          <w:tcPr>
            <w:tcW w:w="1465"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spacing w:line="200" w:lineRule="atLeast"/>
              <w:rPr>
                <w:rFonts w:cs="Times New Roman"/>
                <w:color w:val="auto"/>
              </w:rPr>
            </w:pPr>
            <w:r>
              <w:rPr>
                <w:color w:val="auto"/>
              </w:rPr>
              <w:t>-a</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spacing w:line="190" w:lineRule="atLeast"/>
              <w:rPr>
                <w:rFonts w:cs="Times New Roman"/>
                <w:color w:val="auto"/>
              </w:rPr>
            </w:pPr>
            <w:r>
              <w:rPr>
                <w:rFonts w:hint="eastAsia" w:cs="宋体"/>
                <w:color w:val="auto"/>
              </w:rPr>
              <w:t>电法</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spacing w:line="190" w:lineRule="atLeast"/>
              <w:rPr>
                <w:rFonts w:cs="Times New Roman"/>
                <w:color w:val="auto"/>
              </w:rPr>
            </w:pPr>
            <w:r>
              <w:rPr>
                <w:rFonts w:hint="eastAsia" w:cs="宋体"/>
                <w:color w:val="auto"/>
              </w:rPr>
              <w:t>点</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9" w:type="dxa"/>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vAlign w:val="center"/>
          </w:tcPr>
          <w:p>
            <w:pPr>
              <w:widowControl/>
              <w:rPr>
                <w:rFonts w:cs="Times New Roman"/>
                <w:color w:val="auto"/>
              </w:rPr>
            </w:pPr>
          </w:p>
        </w:tc>
      </w:tr>
      <w:tr>
        <w:tblPrEx>
          <w:tblCellMar>
            <w:top w:w="0" w:type="dxa"/>
            <w:left w:w="0" w:type="dxa"/>
            <w:bottom w:w="0" w:type="dxa"/>
            <w:right w:w="0" w:type="dxa"/>
          </w:tblCellMar>
        </w:tblPrEx>
        <w:trPr>
          <w:trHeight w:val="427" w:hRule="atLeast"/>
          <w:jc w:val="center"/>
        </w:trPr>
        <w:tc>
          <w:tcPr>
            <w:tcW w:w="1465"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spacing w:line="200" w:lineRule="atLeast"/>
              <w:rPr>
                <w:rFonts w:cs="Times New Roman"/>
                <w:color w:val="auto"/>
              </w:rPr>
            </w:pPr>
            <w:r>
              <w:rPr>
                <w:color w:val="auto"/>
              </w:rPr>
              <w:t>-b</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spacing w:line="190" w:lineRule="atLeast"/>
              <w:rPr>
                <w:rFonts w:cs="Times New Roman"/>
                <w:color w:val="auto"/>
              </w:rPr>
            </w:pPr>
            <w:r>
              <w:rPr>
                <w:rFonts w:hint="eastAsia" w:cs="宋体"/>
                <w:color w:val="auto"/>
              </w:rPr>
              <w:t>地震法</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spacing w:line="190" w:lineRule="atLeast"/>
              <w:rPr>
                <w:rFonts w:cs="Times New Roman"/>
                <w:color w:val="auto"/>
              </w:rPr>
            </w:pPr>
            <w:r>
              <w:rPr>
                <w:rFonts w:hint="eastAsia" w:cs="宋体"/>
                <w:color w:val="auto"/>
              </w:rPr>
              <w:t>点</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9" w:type="dxa"/>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vAlign w:val="center"/>
          </w:tcPr>
          <w:p>
            <w:pPr>
              <w:widowControl/>
              <w:rPr>
                <w:rFonts w:cs="Times New Roman"/>
                <w:color w:val="auto"/>
              </w:rPr>
            </w:pPr>
          </w:p>
        </w:tc>
      </w:tr>
      <w:tr>
        <w:tblPrEx>
          <w:tblCellMar>
            <w:top w:w="0" w:type="dxa"/>
            <w:left w:w="0" w:type="dxa"/>
            <w:bottom w:w="0" w:type="dxa"/>
            <w:right w:w="0" w:type="dxa"/>
          </w:tblCellMar>
        </w:tblPrEx>
        <w:trPr>
          <w:trHeight w:val="432" w:hRule="atLeast"/>
          <w:jc w:val="center"/>
        </w:trPr>
        <w:tc>
          <w:tcPr>
            <w:tcW w:w="1465"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spacing w:line="200" w:lineRule="atLeast"/>
              <w:rPr>
                <w:rFonts w:cs="Times New Roman"/>
                <w:color w:val="auto"/>
              </w:rPr>
            </w:pPr>
            <w:r>
              <w:rPr>
                <w:color w:val="auto"/>
              </w:rPr>
              <w:t>-c</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spacing w:line="190" w:lineRule="atLeast"/>
              <w:rPr>
                <w:rFonts w:cs="Times New Roman"/>
                <w:color w:val="auto"/>
              </w:rPr>
            </w:pPr>
            <w:r>
              <w:rPr>
                <w:rFonts w:hint="eastAsia" w:cs="宋体"/>
                <w:color w:val="auto"/>
              </w:rPr>
              <w:t>地震法</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spacing w:line="200" w:lineRule="atLeast"/>
              <w:rPr>
                <w:rFonts w:cs="Times New Roman"/>
                <w:color w:val="auto"/>
              </w:rPr>
            </w:pPr>
            <w:r>
              <w:rPr>
                <w:color w:val="auto"/>
              </w:rPr>
              <w:t>km</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9" w:type="dxa"/>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vAlign w:val="center"/>
          </w:tcPr>
          <w:p>
            <w:pPr>
              <w:widowControl/>
              <w:rPr>
                <w:rFonts w:cs="Times New Roman"/>
                <w:color w:val="auto"/>
              </w:rPr>
            </w:pPr>
          </w:p>
        </w:tc>
      </w:tr>
      <w:tr>
        <w:tblPrEx>
          <w:tblCellMar>
            <w:top w:w="0" w:type="dxa"/>
            <w:left w:w="0" w:type="dxa"/>
            <w:bottom w:w="0" w:type="dxa"/>
            <w:right w:w="0" w:type="dxa"/>
          </w:tblCellMar>
        </w:tblPrEx>
        <w:trPr>
          <w:trHeight w:val="432" w:hRule="atLeast"/>
          <w:jc w:val="center"/>
        </w:trPr>
        <w:tc>
          <w:tcPr>
            <w:tcW w:w="1465"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spacing w:line="200" w:lineRule="atLeast"/>
              <w:rPr>
                <w:rFonts w:cs="Times New Roman"/>
                <w:color w:val="auto"/>
              </w:rPr>
            </w:pPr>
            <w:r>
              <w:rPr>
                <w:color w:val="auto"/>
              </w:rPr>
              <w:t>-d</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spacing w:line="190" w:lineRule="atLeast"/>
              <w:rPr>
                <w:rFonts w:cs="Times New Roman"/>
                <w:color w:val="auto"/>
              </w:rPr>
            </w:pPr>
            <w:r>
              <w:rPr>
                <w:rFonts w:hint="eastAsia" w:cs="宋体"/>
                <w:color w:val="auto"/>
              </w:rPr>
              <w:t>声波</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spacing w:line="200" w:lineRule="atLeast"/>
              <w:rPr>
                <w:rFonts w:cs="Times New Roman"/>
                <w:color w:val="auto"/>
              </w:rPr>
            </w:pPr>
            <w:r>
              <w:rPr>
                <w:color w:val="auto"/>
              </w:rPr>
              <w:t>km</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9" w:type="dxa"/>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vAlign w:val="center"/>
          </w:tcPr>
          <w:p>
            <w:pPr>
              <w:widowControl/>
              <w:rPr>
                <w:rFonts w:cs="Times New Roman"/>
                <w:color w:val="auto"/>
              </w:rPr>
            </w:pPr>
          </w:p>
        </w:tc>
      </w:tr>
      <w:tr>
        <w:tblPrEx>
          <w:tblCellMar>
            <w:top w:w="0" w:type="dxa"/>
            <w:left w:w="0" w:type="dxa"/>
            <w:bottom w:w="0" w:type="dxa"/>
            <w:right w:w="0" w:type="dxa"/>
          </w:tblCellMar>
        </w:tblPrEx>
        <w:trPr>
          <w:trHeight w:val="427" w:hRule="atLeast"/>
          <w:jc w:val="center"/>
        </w:trPr>
        <w:tc>
          <w:tcPr>
            <w:tcW w:w="1465"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spacing w:line="200" w:lineRule="atLeast"/>
              <w:rPr>
                <w:rFonts w:cs="Times New Roman"/>
                <w:color w:val="auto"/>
              </w:rPr>
            </w:pPr>
            <w:r>
              <w:rPr>
                <w:color w:val="auto"/>
              </w:rPr>
              <w:t>-e</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spacing w:line="190" w:lineRule="atLeast"/>
              <w:rPr>
                <w:rFonts w:cs="Times New Roman"/>
                <w:color w:val="auto"/>
              </w:rPr>
            </w:pPr>
            <w:r>
              <w:rPr>
                <w:rFonts w:hint="eastAsia" w:cs="宋体"/>
                <w:color w:val="auto"/>
              </w:rPr>
              <w:t>测井</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spacing w:line="190" w:lineRule="atLeast"/>
              <w:rPr>
                <w:rFonts w:cs="Times New Roman"/>
                <w:color w:val="auto"/>
              </w:rPr>
            </w:pPr>
            <w:r>
              <w:rPr>
                <w:rFonts w:hint="eastAsia" w:cs="宋体"/>
                <w:color w:val="auto"/>
              </w:rPr>
              <w:t>点</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9" w:type="dxa"/>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vAlign w:val="center"/>
          </w:tcPr>
          <w:p>
            <w:pPr>
              <w:widowControl/>
              <w:rPr>
                <w:rFonts w:cs="Times New Roman"/>
                <w:color w:val="auto"/>
              </w:rPr>
            </w:pPr>
          </w:p>
        </w:tc>
      </w:tr>
      <w:tr>
        <w:tblPrEx>
          <w:tblCellMar>
            <w:top w:w="0" w:type="dxa"/>
            <w:left w:w="0" w:type="dxa"/>
            <w:bottom w:w="0" w:type="dxa"/>
            <w:right w:w="0" w:type="dxa"/>
          </w:tblCellMar>
        </w:tblPrEx>
        <w:trPr>
          <w:trHeight w:val="432" w:hRule="atLeast"/>
          <w:jc w:val="center"/>
        </w:trPr>
        <w:tc>
          <w:tcPr>
            <w:tcW w:w="1465"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spacing w:line="200" w:lineRule="atLeast"/>
              <w:rPr>
                <w:rFonts w:cs="Times New Roman"/>
                <w:color w:val="auto"/>
              </w:rPr>
            </w:pPr>
            <w:r>
              <w:rPr>
                <w:color w:val="auto"/>
              </w:rPr>
              <w:t>-f</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spacing w:line="190" w:lineRule="atLeast"/>
              <w:rPr>
                <w:rFonts w:cs="Times New Roman"/>
                <w:color w:val="auto"/>
              </w:rPr>
            </w:pPr>
            <w:r>
              <w:rPr>
                <w:rFonts w:hint="eastAsia" w:cs="宋体"/>
                <w:color w:val="auto"/>
              </w:rPr>
              <w:t>测井</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spacing w:line="200" w:lineRule="atLeast"/>
              <w:rPr>
                <w:rFonts w:cs="Times New Roman"/>
                <w:color w:val="auto"/>
              </w:rPr>
            </w:pPr>
            <w:r>
              <w:rPr>
                <w:color w:val="auto"/>
              </w:rPr>
              <w:t>m</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9" w:type="dxa"/>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vAlign w:val="center"/>
          </w:tcPr>
          <w:p>
            <w:pPr>
              <w:widowControl/>
              <w:rPr>
                <w:rFonts w:cs="Times New Roman"/>
                <w:color w:val="auto"/>
              </w:rPr>
            </w:pPr>
          </w:p>
        </w:tc>
      </w:tr>
      <w:tr>
        <w:tblPrEx>
          <w:tblCellMar>
            <w:top w:w="0" w:type="dxa"/>
            <w:left w:w="0" w:type="dxa"/>
            <w:bottom w:w="0" w:type="dxa"/>
            <w:right w:w="0" w:type="dxa"/>
          </w:tblCellMar>
        </w:tblPrEx>
        <w:trPr>
          <w:trHeight w:val="432" w:hRule="atLeast"/>
          <w:jc w:val="center"/>
        </w:trPr>
        <w:tc>
          <w:tcPr>
            <w:tcW w:w="1465"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color w:val="auto"/>
              </w:rPr>
            </w:pPr>
            <w:r>
              <w:rPr>
                <w:color w:val="auto"/>
              </w:rPr>
              <w:t>…</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color w:val="auto"/>
              </w:rPr>
            </w:pP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color w:val="auto"/>
              </w:rPr>
            </w:pP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color w:val="auto"/>
              </w:rPr>
            </w:pPr>
          </w:p>
        </w:tc>
        <w:tc>
          <w:tcPr>
            <w:tcW w:w="1469" w:type="dxa"/>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vAlign w:val="center"/>
          </w:tcPr>
          <w:p>
            <w:pPr>
              <w:widowControl/>
              <w:rPr>
                <w:color w:val="auto"/>
              </w:rPr>
            </w:pPr>
          </w:p>
        </w:tc>
      </w:tr>
      <w:tr>
        <w:tblPrEx>
          <w:tblCellMar>
            <w:top w:w="0" w:type="dxa"/>
            <w:left w:w="0" w:type="dxa"/>
            <w:bottom w:w="0" w:type="dxa"/>
            <w:right w:w="0" w:type="dxa"/>
          </w:tblCellMar>
        </w:tblPrEx>
        <w:trPr>
          <w:trHeight w:val="427" w:hRule="atLeast"/>
          <w:jc w:val="center"/>
        </w:trPr>
        <w:tc>
          <w:tcPr>
            <w:tcW w:w="1465"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spacing w:line="190" w:lineRule="atLeast"/>
              <w:rPr>
                <w:rFonts w:cs="Times New Roman"/>
                <w:color w:val="auto"/>
              </w:rPr>
            </w:pPr>
            <w:r>
              <w:rPr>
                <w:color w:val="auto"/>
              </w:rPr>
              <w:t>6</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spacing w:line="200" w:lineRule="atLeast"/>
              <w:rPr>
                <w:rFonts w:cs="Times New Roman"/>
                <w:color w:val="auto"/>
              </w:rPr>
            </w:pPr>
            <w:r>
              <w:rPr>
                <w:rFonts w:hint="eastAsia" w:cs="宋体"/>
                <w:color w:val="auto"/>
              </w:rPr>
              <w:t>初测</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spacing w:line="180" w:lineRule="atLeast"/>
              <w:rPr>
                <w:rFonts w:cs="Times New Roman"/>
                <w:color w:val="auto"/>
              </w:rPr>
            </w:pPr>
            <w:r>
              <w:rPr>
                <w:color w:val="auto"/>
                <w:spacing w:val="-20"/>
              </w:rPr>
              <w:t>km</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9" w:type="dxa"/>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vAlign w:val="center"/>
          </w:tcPr>
          <w:p>
            <w:pPr>
              <w:widowControl/>
              <w:rPr>
                <w:rFonts w:cs="Times New Roman"/>
                <w:color w:val="auto"/>
              </w:rPr>
            </w:pPr>
          </w:p>
        </w:tc>
      </w:tr>
      <w:tr>
        <w:tblPrEx>
          <w:tblCellMar>
            <w:top w:w="0" w:type="dxa"/>
            <w:left w:w="0" w:type="dxa"/>
            <w:bottom w:w="0" w:type="dxa"/>
            <w:right w:w="0" w:type="dxa"/>
          </w:tblCellMar>
        </w:tblPrEx>
        <w:trPr>
          <w:trHeight w:val="432" w:hRule="atLeast"/>
          <w:jc w:val="center"/>
        </w:trPr>
        <w:tc>
          <w:tcPr>
            <w:tcW w:w="1465"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color w:val="auto"/>
              </w:rPr>
            </w:pPr>
            <w:r>
              <w:rPr>
                <w:color w:val="auto"/>
              </w:rPr>
              <w:t>…</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color w:val="auto"/>
              </w:rPr>
            </w:pP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color w:val="auto"/>
              </w:rPr>
            </w:pP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color w:val="auto"/>
              </w:rPr>
            </w:pPr>
          </w:p>
        </w:tc>
        <w:tc>
          <w:tcPr>
            <w:tcW w:w="1469" w:type="dxa"/>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vAlign w:val="center"/>
          </w:tcPr>
          <w:p>
            <w:pPr>
              <w:widowControl/>
              <w:rPr>
                <w:color w:val="auto"/>
              </w:rPr>
            </w:pPr>
          </w:p>
        </w:tc>
      </w:tr>
      <w:tr>
        <w:tblPrEx>
          <w:tblCellMar>
            <w:top w:w="0" w:type="dxa"/>
            <w:left w:w="0" w:type="dxa"/>
            <w:bottom w:w="0" w:type="dxa"/>
            <w:right w:w="0" w:type="dxa"/>
          </w:tblCellMar>
        </w:tblPrEx>
        <w:trPr>
          <w:trHeight w:val="427" w:hRule="atLeast"/>
          <w:jc w:val="center"/>
        </w:trPr>
        <w:tc>
          <w:tcPr>
            <w:tcW w:w="1465"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spacing w:line="190" w:lineRule="atLeast"/>
              <w:rPr>
                <w:rFonts w:cs="Times New Roman"/>
                <w:color w:val="auto"/>
              </w:rPr>
            </w:pPr>
            <w:r>
              <w:rPr>
                <w:color w:val="auto"/>
              </w:rPr>
              <w:t>7</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spacing w:line="200" w:lineRule="atLeast"/>
              <w:rPr>
                <w:rFonts w:cs="Times New Roman"/>
                <w:color w:val="auto"/>
              </w:rPr>
            </w:pPr>
            <w:r>
              <w:rPr>
                <w:rFonts w:hint="eastAsia" w:cs="宋体"/>
                <w:color w:val="auto"/>
              </w:rPr>
              <w:t>定测</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spacing w:line="180" w:lineRule="atLeast"/>
              <w:rPr>
                <w:rFonts w:cs="Times New Roman"/>
                <w:color w:val="auto"/>
              </w:rPr>
            </w:pPr>
            <w:r>
              <w:rPr>
                <w:color w:val="auto"/>
                <w:spacing w:val="-20"/>
              </w:rPr>
              <w:t>km</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9" w:type="dxa"/>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vAlign w:val="center"/>
          </w:tcPr>
          <w:p>
            <w:pPr>
              <w:widowControl/>
              <w:rPr>
                <w:rFonts w:cs="Times New Roman"/>
                <w:color w:val="auto"/>
              </w:rPr>
            </w:pPr>
          </w:p>
        </w:tc>
      </w:tr>
      <w:tr>
        <w:tblPrEx>
          <w:tblCellMar>
            <w:top w:w="0" w:type="dxa"/>
            <w:left w:w="0" w:type="dxa"/>
            <w:bottom w:w="0" w:type="dxa"/>
            <w:right w:w="0" w:type="dxa"/>
          </w:tblCellMar>
        </w:tblPrEx>
        <w:trPr>
          <w:trHeight w:val="432" w:hRule="atLeast"/>
          <w:jc w:val="center"/>
        </w:trPr>
        <w:tc>
          <w:tcPr>
            <w:tcW w:w="1465"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color w:val="auto"/>
              </w:rPr>
            </w:pPr>
            <w:r>
              <w:rPr>
                <w:color w:val="auto"/>
              </w:rPr>
              <w:t>…</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color w:val="auto"/>
              </w:rPr>
            </w:pP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color w:val="auto"/>
              </w:rPr>
            </w:pP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color w:val="auto"/>
              </w:rPr>
            </w:pPr>
          </w:p>
        </w:tc>
        <w:tc>
          <w:tcPr>
            <w:tcW w:w="1469" w:type="dxa"/>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vAlign w:val="center"/>
          </w:tcPr>
          <w:p>
            <w:pPr>
              <w:widowControl/>
              <w:rPr>
                <w:color w:val="auto"/>
              </w:rPr>
            </w:pPr>
          </w:p>
        </w:tc>
      </w:tr>
      <w:tr>
        <w:tblPrEx>
          <w:tblCellMar>
            <w:top w:w="0" w:type="dxa"/>
            <w:left w:w="0" w:type="dxa"/>
            <w:bottom w:w="0" w:type="dxa"/>
            <w:right w:w="0" w:type="dxa"/>
          </w:tblCellMar>
        </w:tblPrEx>
        <w:trPr>
          <w:trHeight w:val="850" w:hRule="atLeast"/>
          <w:jc w:val="center"/>
        </w:trPr>
        <w:tc>
          <w:tcPr>
            <w:tcW w:w="1465"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spacing w:line="190" w:lineRule="atLeast"/>
              <w:rPr>
                <w:rFonts w:cs="Times New Roman"/>
                <w:color w:val="auto"/>
              </w:rPr>
            </w:pPr>
            <w:r>
              <w:rPr>
                <w:color w:val="auto"/>
              </w:rPr>
              <w:t>8</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spacing w:line="422" w:lineRule="atLeast"/>
              <w:jc w:val="left"/>
              <w:rPr>
                <w:rFonts w:cs="Times New Roman"/>
                <w:color w:val="auto"/>
              </w:rPr>
            </w:pPr>
            <w:r>
              <w:rPr>
                <w:rFonts w:hint="eastAsia" w:cs="宋体"/>
                <w:color w:val="auto"/>
              </w:rPr>
              <w:t>一次定测（如有）</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spacing w:line="180" w:lineRule="atLeast"/>
              <w:rPr>
                <w:rFonts w:cs="Times New Roman"/>
                <w:color w:val="auto"/>
              </w:rPr>
            </w:pPr>
            <w:r>
              <w:rPr>
                <w:color w:val="auto"/>
                <w:spacing w:val="-20"/>
              </w:rPr>
              <w:t>km</w:t>
            </w: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9" w:type="dxa"/>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vAlign w:val="center"/>
          </w:tcPr>
          <w:p>
            <w:pPr>
              <w:widowControl/>
              <w:rPr>
                <w:rFonts w:cs="Times New Roman"/>
                <w:color w:val="auto"/>
              </w:rPr>
            </w:pPr>
          </w:p>
        </w:tc>
      </w:tr>
      <w:tr>
        <w:tblPrEx>
          <w:tblCellMar>
            <w:top w:w="0" w:type="dxa"/>
            <w:left w:w="0" w:type="dxa"/>
            <w:bottom w:w="0" w:type="dxa"/>
            <w:right w:w="0" w:type="dxa"/>
          </w:tblCellMar>
        </w:tblPrEx>
        <w:trPr>
          <w:trHeight w:val="432" w:hRule="atLeast"/>
          <w:jc w:val="center"/>
        </w:trPr>
        <w:tc>
          <w:tcPr>
            <w:tcW w:w="1465"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4"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rPr>
                <w:rFonts w:cs="Times New Roman"/>
                <w:color w:val="auto"/>
              </w:rPr>
            </w:pPr>
          </w:p>
        </w:tc>
        <w:tc>
          <w:tcPr>
            <w:tcW w:w="1469" w:type="dxa"/>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vAlign w:val="center"/>
          </w:tcPr>
          <w:p>
            <w:pPr>
              <w:widowControl/>
              <w:rPr>
                <w:rFonts w:cs="Times New Roman"/>
                <w:color w:val="auto"/>
              </w:rPr>
            </w:pPr>
          </w:p>
        </w:tc>
      </w:tr>
      <w:tr>
        <w:tblPrEx>
          <w:tblCellMar>
            <w:top w:w="0" w:type="dxa"/>
            <w:left w:w="0" w:type="dxa"/>
            <w:bottom w:w="0" w:type="dxa"/>
            <w:right w:w="0" w:type="dxa"/>
          </w:tblCellMar>
        </w:tblPrEx>
        <w:trPr>
          <w:trHeight w:val="437" w:hRule="atLeast"/>
          <w:jc w:val="center"/>
        </w:trPr>
        <w:tc>
          <w:tcPr>
            <w:tcW w:w="7321" w:type="dxa"/>
            <w:gridSpan w:val="5"/>
            <w:tcBorders>
              <w:top w:val="single" w:color="000000" w:sz="4" w:space="0"/>
              <w:left w:val="single" w:color="000000" w:sz="4" w:space="0"/>
              <w:bottom w:val="single" w:color="000000" w:sz="4" w:space="0"/>
              <w:right w:val="nil"/>
            </w:tcBorders>
            <w:shd w:val="clear" w:color="auto" w:fill="FFFFFF"/>
            <w:tcMar>
              <w:top w:w="0" w:type="dxa"/>
              <w:left w:w="31" w:type="dxa"/>
              <w:bottom w:w="0" w:type="dxa"/>
              <w:right w:w="0" w:type="dxa"/>
            </w:tcMar>
            <w:vAlign w:val="center"/>
          </w:tcPr>
          <w:p>
            <w:pPr>
              <w:widowControl/>
              <w:shd w:val="clear" w:color="auto" w:fill="FFFFFF"/>
              <w:spacing w:line="200" w:lineRule="atLeast"/>
              <w:jc w:val="center"/>
              <w:rPr>
                <w:rFonts w:cs="Times New Roman"/>
                <w:color w:val="auto"/>
              </w:rPr>
            </w:pPr>
            <w:r>
              <w:rPr>
                <w:rFonts w:hint="eastAsia" w:cs="宋体"/>
                <w:color w:val="auto"/>
              </w:rPr>
              <w:t>合计</w:t>
            </w:r>
          </w:p>
        </w:tc>
        <w:tc>
          <w:tcPr>
            <w:tcW w:w="1469" w:type="dxa"/>
            <w:tcBorders>
              <w:top w:val="single" w:color="000000" w:sz="4" w:space="0"/>
              <w:left w:val="single" w:color="000000" w:sz="4" w:space="0"/>
              <w:bottom w:val="single" w:color="000000" w:sz="4" w:space="0"/>
              <w:right w:val="single" w:color="000000" w:sz="4" w:space="0"/>
            </w:tcBorders>
            <w:shd w:val="clear" w:color="auto" w:fill="FFFFFF"/>
            <w:tcMar>
              <w:top w:w="0" w:type="dxa"/>
              <w:left w:w="31" w:type="dxa"/>
              <w:bottom w:w="0" w:type="dxa"/>
              <w:right w:w="0" w:type="dxa"/>
            </w:tcMar>
            <w:vAlign w:val="center"/>
          </w:tcPr>
          <w:p>
            <w:pPr>
              <w:widowControl/>
              <w:rPr>
                <w:rFonts w:cs="Times New Roman"/>
                <w:color w:val="auto"/>
              </w:rPr>
            </w:pPr>
          </w:p>
        </w:tc>
      </w:tr>
    </w:tbl>
    <w:p>
      <w:pPr>
        <w:snapToGrid w:val="0"/>
        <w:spacing w:line="360" w:lineRule="auto"/>
        <w:jc w:val="left"/>
        <w:rPr>
          <w:rFonts w:ascii="宋体" w:hAnsi="Times New Roman" w:cs="Times New Roman"/>
          <w:color w:val="auto"/>
        </w:rPr>
      </w:pPr>
      <w:r>
        <w:rPr>
          <w:rFonts w:hint="eastAsia" w:ascii="宋体" w:cs="宋体"/>
          <w:color w:val="auto"/>
        </w:rPr>
        <w:t>注：本清单格式仅为示例，投标人应根据本招标项目工程特点、按照《公路工程地质勘察规范》、《公路勘测规范》、《公路勘测细则》及合同条款的相关规定，核实勘察工作内容及工作量，分别列出并填写本表各勘察项目的分项及子项。同时，投标人应将详细的计算说明（包括每一分项、子项的计算依据及计算过程等）附在报价清单后面。</w:t>
      </w:r>
    </w:p>
    <w:p>
      <w:pPr>
        <w:snapToGrid w:val="0"/>
        <w:spacing w:line="360" w:lineRule="auto"/>
        <w:jc w:val="center"/>
        <w:rPr>
          <w:rFonts w:ascii="黑体" w:hAnsi="黑体" w:eastAsia="黑体" w:cs="Times New Roman"/>
          <w:b/>
          <w:bCs/>
          <w:color w:val="auto"/>
          <w:sz w:val="30"/>
          <w:szCs w:val="30"/>
        </w:rPr>
      </w:pPr>
    </w:p>
    <w:p>
      <w:pPr>
        <w:snapToGrid w:val="0"/>
        <w:spacing w:line="360" w:lineRule="auto"/>
        <w:jc w:val="center"/>
        <w:rPr>
          <w:rFonts w:ascii="黑体" w:hAnsi="黑体" w:eastAsia="黑体" w:cs="Times New Roman"/>
          <w:b/>
          <w:bCs/>
          <w:color w:val="auto"/>
          <w:sz w:val="30"/>
          <w:szCs w:val="30"/>
        </w:rPr>
      </w:pPr>
      <w:r>
        <w:rPr>
          <w:rFonts w:hint="eastAsia" w:ascii="黑体" w:hAnsi="黑体" w:eastAsia="黑体" w:cs="黑体"/>
          <w:b/>
          <w:bCs/>
          <w:color w:val="auto"/>
          <w:sz w:val="30"/>
          <w:szCs w:val="30"/>
        </w:rPr>
        <w:t>（三）报价清单汇总表</w:t>
      </w:r>
    </w:p>
    <w:p>
      <w:pPr>
        <w:snapToGrid w:val="0"/>
        <w:spacing w:line="360" w:lineRule="auto"/>
        <w:jc w:val="center"/>
        <w:rPr>
          <w:rFonts w:ascii="黑体" w:hAnsi="黑体" w:eastAsia="黑体" w:cs="Times New Roman"/>
          <w:b/>
          <w:bCs/>
          <w:color w:val="auto"/>
          <w:sz w:val="30"/>
          <w:szCs w:val="30"/>
        </w:rPr>
      </w:pPr>
    </w:p>
    <w:p>
      <w:pPr>
        <w:snapToGrid w:val="0"/>
        <w:jc w:val="left"/>
        <w:rPr>
          <w:rFonts w:ascii="宋体" w:hAnsi="Times New Roman" w:cs="Times New Roman"/>
          <w:color w:val="auto"/>
        </w:rPr>
      </w:pPr>
      <w:r>
        <w:rPr>
          <w:rFonts w:hint="eastAsia" w:ascii="宋体" w:cs="宋体"/>
          <w:color w:val="auto"/>
        </w:rPr>
        <w:t>第标段单位：元（人民币）</w:t>
      </w:r>
    </w:p>
    <w:tbl>
      <w:tblPr>
        <w:tblStyle w:val="20"/>
        <w:tblW w:w="8730" w:type="dxa"/>
        <w:tblInd w:w="2" w:type="dxa"/>
        <w:tblLayout w:type="fixed"/>
        <w:tblCellMar>
          <w:top w:w="0" w:type="dxa"/>
          <w:left w:w="0" w:type="dxa"/>
          <w:bottom w:w="0" w:type="dxa"/>
          <w:right w:w="0" w:type="dxa"/>
        </w:tblCellMar>
      </w:tblPr>
      <w:tblGrid>
        <w:gridCol w:w="875"/>
        <w:gridCol w:w="2908"/>
        <w:gridCol w:w="2082"/>
        <w:gridCol w:w="2865"/>
      </w:tblGrid>
      <w:tr>
        <w:tblPrEx>
          <w:tblCellMar>
            <w:top w:w="0" w:type="dxa"/>
            <w:left w:w="0" w:type="dxa"/>
            <w:bottom w:w="0" w:type="dxa"/>
            <w:right w:w="0" w:type="dxa"/>
          </w:tblCellMar>
        </w:tblPrEx>
        <w:trPr>
          <w:trHeight w:val="408" w:hRule="atLeast"/>
        </w:trPr>
        <w:tc>
          <w:tcPr>
            <w:tcW w:w="875"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jc w:val="center"/>
              <w:rPr>
                <w:rFonts w:cs="Times New Roman"/>
                <w:color w:val="auto"/>
              </w:rPr>
            </w:pPr>
            <w:r>
              <w:rPr>
                <w:rFonts w:hint="eastAsia" w:cs="宋体"/>
                <w:color w:val="auto"/>
              </w:rPr>
              <w:t>序号</w:t>
            </w:r>
          </w:p>
        </w:tc>
        <w:tc>
          <w:tcPr>
            <w:tcW w:w="2908"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jc w:val="center"/>
              <w:rPr>
                <w:rFonts w:cs="Times New Roman"/>
                <w:color w:val="auto"/>
              </w:rPr>
            </w:pPr>
            <w:r>
              <w:rPr>
                <w:rFonts w:hint="eastAsia" w:cs="宋体"/>
                <w:color w:val="auto"/>
              </w:rPr>
              <w:t>项目</w:t>
            </w:r>
          </w:p>
        </w:tc>
        <w:tc>
          <w:tcPr>
            <w:tcW w:w="2082"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widowControl/>
              <w:shd w:val="clear" w:color="auto" w:fill="FFFFFF"/>
              <w:jc w:val="center"/>
              <w:rPr>
                <w:rFonts w:cs="Times New Roman"/>
                <w:color w:val="auto"/>
              </w:rPr>
            </w:pPr>
            <w:r>
              <w:rPr>
                <w:rFonts w:hint="eastAsia" w:cs="宋体"/>
                <w:color w:val="auto"/>
              </w:rPr>
              <w:t>费用合计</w:t>
            </w:r>
          </w:p>
        </w:tc>
        <w:tc>
          <w:tcPr>
            <w:tcW w:w="2865" w:type="dxa"/>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vAlign w:val="center"/>
          </w:tcPr>
          <w:p>
            <w:pPr>
              <w:widowControl/>
              <w:shd w:val="clear" w:color="auto" w:fill="FFFFFF"/>
              <w:jc w:val="center"/>
              <w:rPr>
                <w:rFonts w:cs="Times New Roman"/>
                <w:color w:val="auto"/>
              </w:rPr>
            </w:pPr>
            <w:r>
              <w:rPr>
                <w:rFonts w:hint="eastAsia" w:cs="宋体"/>
                <w:color w:val="auto"/>
              </w:rPr>
              <w:t>备注</w:t>
            </w:r>
          </w:p>
        </w:tc>
      </w:tr>
      <w:tr>
        <w:tblPrEx>
          <w:tblCellMar>
            <w:top w:w="0" w:type="dxa"/>
            <w:left w:w="0" w:type="dxa"/>
            <w:bottom w:w="0" w:type="dxa"/>
            <w:right w:w="0" w:type="dxa"/>
          </w:tblCellMar>
        </w:tblPrEx>
        <w:trPr>
          <w:trHeight w:val="413" w:hRule="atLeast"/>
        </w:trPr>
        <w:tc>
          <w:tcPr>
            <w:tcW w:w="875"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pStyle w:val="60"/>
              <w:shd w:val="clear" w:color="auto" w:fill="auto"/>
              <w:spacing w:before="0" w:after="0" w:line="240" w:lineRule="auto"/>
              <w:ind w:left="260" w:firstLine="0"/>
              <w:jc w:val="both"/>
              <w:rPr>
                <w:rFonts w:cs="Times New Roman"/>
                <w:color w:val="auto"/>
              </w:rPr>
            </w:pPr>
            <w:r>
              <w:rPr>
                <w:rStyle w:val="80"/>
                <w:rFonts w:ascii="宋体" w:hAnsi="宋体" w:eastAsia="宋体" w:cs="宋体"/>
                <w:color w:val="auto"/>
                <w:sz w:val="21"/>
                <w:szCs w:val="21"/>
                <w:lang w:val="en-US" w:eastAsia="en-US"/>
              </w:rPr>
              <w:t>(1)</w:t>
            </w:r>
          </w:p>
        </w:tc>
        <w:tc>
          <w:tcPr>
            <w:tcW w:w="2908"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pStyle w:val="60"/>
              <w:shd w:val="clear" w:color="auto" w:fill="auto"/>
              <w:spacing w:before="0" w:after="0" w:line="240" w:lineRule="auto"/>
              <w:ind w:firstLine="0"/>
              <w:jc w:val="both"/>
              <w:rPr>
                <w:rFonts w:cs="Times New Roman"/>
                <w:color w:val="auto"/>
              </w:rPr>
            </w:pPr>
            <w:r>
              <w:rPr>
                <w:rStyle w:val="81"/>
                <w:rFonts w:hint="eastAsia" w:ascii="宋体" w:hAnsi="宋体" w:eastAsia="宋体" w:cs="宋体"/>
                <w:color w:val="auto"/>
                <w:sz w:val="21"/>
                <w:szCs w:val="21"/>
              </w:rPr>
              <w:t>公路工程勘察</w:t>
            </w:r>
          </w:p>
        </w:tc>
        <w:tc>
          <w:tcPr>
            <w:tcW w:w="2082"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rPr>
                <w:rFonts w:cs="Times New Roman"/>
                <w:color w:val="auto"/>
              </w:rPr>
            </w:pPr>
          </w:p>
        </w:tc>
        <w:tc>
          <w:tcPr>
            <w:tcW w:w="2865" w:type="dxa"/>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vAlign w:val="center"/>
          </w:tcPr>
          <w:p>
            <w:pPr>
              <w:rPr>
                <w:rFonts w:cs="Times New Roman"/>
                <w:color w:val="auto"/>
              </w:rPr>
            </w:pPr>
          </w:p>
        </w:tc>
      </w:tr>
      <w:tr>
        <w:tblPrEx>
          <w:tblCellMar>
            <w:top w:w="0" w:type="dxa"/>
            <w:left w:w="0" w:type="dxa"/>
            <w:bottom w:w="0" w:type="dxa"/>
            <w:right w:w="0" w:type="dxa"/>
          </w:tblCellMar>
        </w:tblPrEx>
        <w:trPr>
          <w:trHeight w:val="413" w:hRule="atLeast"/>
        </w:trPr>
        <w:tc>
          <w:tcPr>
            <w:tcW w:w="875"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pStyle w:val="60"/>
              <w:shd w:val="clear" w:color="auto" w:fill="auto"/>
              <w:spacing w:before="0" w:after="0" w:line="240" w:lineRule="auto"/>
              <w:ind w:left="260" w:firstLine="0"/>
              <w:jc w:val="both"/>
              <w:rPr>
                <w:rFonts w:cs="Times New Roman"/>
                <w:color w:val="auto"/>
              </w:rPr>
            </w:pPr>
            <w:r>
              <w:rPr>
                <w:rStyle w:val="80"/>
                <w:rFonts w:ascii="宋体" w:hAnsi="宋体" w:eastAsia="宋体" w:cs="宋体"/>
                <w:color w:val="auto"/>
                <w:sz w:val="21"/>
                <w:szCs w:val="21"/>
                <w:lang w:val="en-US" w:eastAsia="en-US"/>
              </w:rPr>
              <w:t>(</w:t>
            </w:r>
            <w:r>
              <w:rPr>
                <w:rStyle w:val="80"/>
                <w:rFonts w:ascii="宋体" w:hAnsi="宋体" w:eastAsia="宋体" w:cs="宋体"/>
                <w:color w:val="auto"/>
                <w:sz w:val="21"/>
                <w:szCs w:val="21"/>
                <w:lang w:val="en-US"/>
              </w:rPr>
              <w:t>2</w:t>
            </w:r>
            <w:r>
              <w:rPr>
                <w:rStyle w:val="80"/>
                <w:rFonts w:ascii="宋体" w:hAnsi="宋体" w:eastAsia="宋体" w:cs="宋体"/>
                <w:color w:val="auto"/>
                <w:sz w:val="21"/>
                <w:szCs w:val="21"/>
                <w:lang w:val="en-US" w:eastAsia="en-US"/>
              </w:rPr>
              <w:t>)</w:t>
            </w:r>
          </w:p>
        </w:tc>
        <w:tc>
          <w:tcPr>
            <w:tcW w:w="2908"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pStyle w:val="60"/>
              <w:shd w:val="clear" w:color="auto" w:fill="auto"/>
              <w:spacing w:before="0" w:after="0" w:line="240" w:lineRule="auto"/>
              <w:ind w:firstLine="0"/>
              <w:jc w:val="both"/>
              <w:rPr>
                <w:rFonts w:cs="Times New Roman"/>
                <w:color w:val="auto"/>
              </w:rPr>
            </w:pPr>
            <w:r>
              <w:rPr>
                <w:rStyle w:val="81"/>
                <w:rFonts w:hint="eastAsia" w:ascii="宋体" w:hAnsi="宋体" w:eastAsia="宋体" w:cs="宋体"/>
                <w:color w:val="auto"/>
                <w:sz w:val="21"/>
                <w:szCs w:val="21"/>
              </w:rPr>
              <w:t>勘察费用合计</w:t>
            </w:r>
          </w:p>
        </w:tc>
        <w:tc>
          <w:tcPr>
            <w:tcW w:w="2082"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rPr>
                <w:rFonts w:cs="Times New Roman"/>
                <w:color w:val="auto"/>
              </w:rPr>
            </w:pPr>
          </w:p>
        </w:tc>
        <w:tc>
          <w:tcPr>
            <w:tcW w:w="2865" w:type="dxa"/>
            <w:tcBorders>
              <w:top w:val="single" w:color="000000" w:sz="4" w:space="0"/>
              <w:left w:val="single" w:color="000000" w:sz="4" w:space="0"/>
              <w:bottom w:val="nil"/>
              <w:right w:val="single" w:color="000000" w:sz="4" w:space="0"/>
            </w:tcBorders>
            <w:shd w:val="clear" w:color="auto" w:fill="FFFFFF"/>
            <w:tcMar>
              <w:top w:w="0" w:type="dxa"/>
              <w:left w:w="31" w:type="dxa"/>
              <w:bottom w:w="0" w:type="dxa"/>
              <w:right w:w="0" w:type="dxa"/>
            </w:tcMar>
            <w:vAlign w:val="center"/>
          </w:tcPr>
          <w:p>
            <w:pPr>
              <w:pStyle w:val="60"/>
              <w:shd w:val="clear" w:color="auto" w:fill="auto"/>
              <w:spacing w:before="0" w:after="0" w:line="240" w:lineRule="auto"/>
              <w:ind w:left="240" w:firstLine="0"/>
              <w:jc w:val="both"/>
              <w:rPr>
                <w:rFonts w:cs="Times New Roman"/>
                <w:color w:val="auto"/>
              </w:rPr>
            </w:pPr>
            <w:r>
              <w:rPr>
                <w:rFonts w:ascii="宋体" w:hAnsi="宋体" w:eastAsia="宋体" w:cs="宋体"/>
                <w:color w:val="auto"/>
                <w:sz w:val="21"/>
                <w:szCs w:val="21"/>
                <w:lang w:eastAsia="en-US"/>
              </w:rPr>
              <w:t>(</w:t>
            </w:r>
            <w:r>
              <w:rPr>
                <w:rFonts w:ascii="宋体" w:hAnsi="宋体" w:eastAsia="宋体" w:cs="宋体"/>
                <w:color w:val="auto"/>
                <w:sz w:val="21"/>
                <w:szCs w:val="21"/>
              </w:rPr>
              <w:t>2</w:t>
            </w:r>
            <w:r>
              <w:rPr>
                <w:rFonts w:ascii="宋体" w:hAnsi="宋体" w:eastAsia="宋体" w:cs="宋体"/>
                <w:color w:val="auto"/>
                <w:sz w:val="21"/>
                <w:szCs w:val="21"/>
                <w:lang w:eastAsia="en-US"/>
              </w:rPr>
              <w:t xml:space="preserve">) </w:t>
            </w:r>
            <w:r>
              <w:rPr>
                <w:rFonts w:ascii="宋体" w:hAnsi="宋体" w:eastAsia="宋体" w:cs="宋体"/>
                <w:color w:val="auto"/>
                <w:sz w:val="21"/>
                <w:szCs w:val="21"/>
              </w:rPr>
              <w:t xml:space="preserve">= </w:t>
            </w:r>
            <w:r>
              <w:rPr>
                <w:rFonts w:ascii="宋体" w:hAnsi="宋体" w:eastAsia="宋体" w:cs="宋体"/>
                <w:color w:val="auto"/>
                <w:sz w:val="21"/>
                <w:szCs w:val="21"/>
                <w:lang w:eastAsia="en-US"/>
              </w:rPr>
              <w:t xml:space="preserve">(1) </w:t>
            </w:r>
          </w:p>
        </w:tc>
      </w:tr>
      <w:tr>
        <w:tblPrEx>
          <w:tblCellMar>
            <w:top w:w="0" w:type="dxa"/>
            <w:left w:w="0" w:type="dxa"/>
            <w:bottom w:w="0" w:type="dxa"/>
            <w:right w:w="0" w:type="dxa"/>
          </w:tblCellMar>
        </w:tblPrEx>
        <w:trPr>
          <w:trHeight w:val="408" w:hRule="atLeast"/>
        </w:trPr>
        <w:tc>
          <w:tcPr>
            <w:tcW w:w="875"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pStyle w:val="60"/>
              <w:shd w:val="clear" w:color="auto" w:fill="auto"/>
              <w:spacing w:before="0" w:after="0" w:line="240" w:lineRule="auto"/>
              <w:ind w:left="260" w:firstLine="0"/>
              <w:jc w:val="both"/>
              <w:rPr>
                <w:rFonts w:cs="Times New Roman"/>
                <w:color w:val="auto"/>
              </w:rPr>
            </w:pPr>
            <w:r>
              <w:rPr>
                <w:rStyle w:val="80"/>
                <w:rFonts w:ascii="宋体" w:hAnsi="宋体" w:eastAsia="宋体" w:cs="宋体"/>
                <w:color w:val="auto"/>
                <w:sz w:val="21"/>
                <w:szCs w:val="21"/>
                <w:lang w:val="en-US" w:eastAsia="en-US"/>
              </w:rPr>
              <w:t>(</w:t>
            </w:r>
            <w:r>
              <w:rPr>
                <w:rStyle w:val="80"/>
                <w:rFonts w:ascii="宋体" w:hAnsi="宋体" w:eastAsia="宋体" w:cs="宋体"/>
                <w:color w:val="auto"/>
                <w:sz w:val="21"/>
                <w:szCs w:val="21"/>
                <w:lang w:val="en-US"/>
              </w:rPr>
              <w:t>3</w:t>
            </w:r>
            <w:r>
              <w:rPr>
                <w:rStyle w:val="80"/>
                <w:rFonts w:ascii="宋体" w:hAnsi="宋体" w:eastAsia="宋体" w:cs="宋体"/>
                <w:color w:val="auto"/>
                <w:sz w:val="21"/>
                <w:szCs w:val="21"/>
                <w:lang w:val="en-US" w:eastAsia="en-US"/>
              </w:rPr>
              <w:t>)</w:t>
            </w:r>
          </w:p>
        </w:tc>
        <w:tc>
          <w:tcPr>
            <w:tcW w:w="2908"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pStyle w:val="60"/>
              <w:shd w:val="clear" w:color="auto" w:fill="auto"/>
              <w:spacing w:before="0" w:after="0" w:line="240" w:lineRule="auto"/>
              <w:ind w:firstLine="0"/>
              <w:jc w:val="both"/>
              <w:rPr>
                <w:rFonts w:cs="Times New Roman"/>
                <w:color w:val="auto"/>
              </w:rPr>
            </w:pPr>
            <w:r>
              <w:rPr>
                <w:rStyle w:val="81"/>
                <w:rFonts w:hint="eastAsia" w:ascii="宋体" w:hAnsi="宋体" w:eastAsia="宋体" w:cs="宋体"/>
                <w:color w:val="auto"/>
                <w:sz w:val="21"/>
                <w:szCs w:val="21"/>
              </w:rPr>
              <w:t>利润</w:t>
            </w:r>
          </w:p>
        </w:tc>
        <w:tc>
          <w:tcPr>
            <w:tcW w:w="2082"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rPr>
                <w:rFonts w:cs="Times New Roman"/>
                <w:color w:val="auto"/>
              </w:rPr>
            </w:pPr>
          </w:p>
        </w:tc>
        <w:tc>
          <w:tcPr>
            <w:tcW w:w="2865" w:type="dxa"/>
            <w:tcBorders>
              <w:top w:val="single" w:color="000000" w:sz="4" w:space="0"/>
              <w:left w:val="single" w:color="000000" w:sz="4" w:space="0"/>
              <w:bottom w:val="single" w:color="auto" w:sz="4" w:space="0"/>
              <w:right w:val="single" w:color="000000" w:sz="4" w:space="0"/>
            </w:tcBorders>
            <w:shd w:val="clear" w:color="auto" w:fill="FFFFFF"/>
            <w:tcMar>
              <w:top w:w="0" w:type="dxa"/>
              <w:left w:w="31" w:type="dxa"/>
              <w:bottom w:w="0" w:type="dxa"/>
              <w:right w:w="0" w:type="dxa"/>
            </w:tcMar>
            <w:vAlign w:val="center"/>
          </w:tcPr>
          <w:p>
            <w:pPr>
              <w:pStyle w:val="60"/>
              <w:shd w:val="clear" w:color="auto" w:fill="auto"/>
              <w:spacing w:before="0" w:after="0" w:line="240" w:lineRule="auto"/>
              <w:ind w:firstLine="210" w:firstLineChars="100"/>
              <w:jc w:val="both"/>
              <w:rPr>
                <w:rFonts w:cs="Times New Roman"/>
                <w:color w:val="auto"/>
              </w:rPr>
            </w:pPr>
            <w:r>
              <w:rPr>
                <w:rStyle w:val="80"/>
                <w:rFonts w:hint="eastAsia" w:ascii="宋体" w:hAnsi="宋体" w:eastAsia="宋体" w:cs="宋体"/>
                <w:color w:val="auto"/>
                <w:sz w:val="21"/>
                <w:szCs w:val="21"/>
              </w:rPr>
              <w:t>按</w:t>
            </w:r>
            <w:r>
              <w:rPr>
                <w:rFonts w:hint="eastAsia" w:ascii="宋体" w:hAnsi="宋体" w:eastAsia="宋体" w:cs="宋体"/>
                <w:color w:val="auto"/>
                <w:sz w:val="21"/>
                <w:szCs w:val="21"/>
                <w:lang w:eastAsia="en-US"/>
              </w:rPr>
              <w:t>（</w:t>
            </w:r>
            <w:r>
              <w:rPr>
                <w:rFonts w:ascii="宋体" w:hAnsi="宋体" w:eastAsia="宋体" w:cs="宋体"/>
                <w:color w:val="auto"/>
                <w:sz w:val="21"/>
                <w:szCs w:val="21"/>
              </w:rPr>
              <w:t>2</w:t>
            </w:r>
            <w:r>
              <w:rPr>
                <w:rFonts w:hint="eastAsia" w:ascii="宋体" w:hAnsi="宋体" w:eastAsia="宋体" w:cs="宋体"/>
                <w:color w:val="auto"/>
                <w:sz w:val="21"/>
                <w:szCs w:val="21"/>
                <w:lang w:eastAsia="en-US"/>
              </w:rPr>
              <w:t>）</w:t>
            </w:r>
            <w:r>
              <w:rPr>
                <w:rStyle w:val="80"/>
                <w:rFonts w:hint="eastAsia" w:ascii="宋体" w:hAnsi="宋体" w:eastAsia="宋体" w:cs="宋体"/>
                <w:color w:val="auto"/>
                <w:sz w:val="21"/>
                <w:szCs w:val="21"/>
              </w:rPr>
              <w:t>的百分比报价</w:t>
            </w:r>
          </w:p>
        </w:tc>
      </w:tr>
      <w:tr>
        <w:tblPrEx>
          <w:tblCellMar>
            <w:top w:w="0" w:type="dxa"/>
            <w:left w:w="0" w:type="dxa"/>
            <w:bottom w:w="0" w:type="dxa"/>
            <w:right w:w="0" w:type="dxa"/>
          </w:tblCellMar>
        </w:tblPrEx>
        <w:trPr>
          <w:trHeight w:val="408" w:hRule="atLeast"/>
        </w:trPr>
        <w:tc>
          <w:tcPr>
            <w:tcW w:w="875"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pStyle w:val="60"/>
              <w:shd w:val="clear" w:color="auto" w:fill="auto"/>
              <w:spacing w:before="0" w:after="0" w:line="240" w:lineRule="auto"/>
              <w:ind w:left="260" w:firstLine="0"/>
              <w:jc w:val="both"/>
              <w:rPr>
                <w:rFonts w:cs="Times New Roman"/>
                <w:color w:val="auto"/>
              </w:rPr>
            </w:pPr>
            <w:r>
              <w:rPr>
                <w:rStyle w:val="80"/>
                <w:rFonts w:ascii="宋体" w:hAnsi="宋体" w:eastAsia="宋体" w:cs="宋体"/>
                <w:color w:val="auto"/>
                <w:sz w:val="21"/>
                <w:szCs w:val="21"/>
                <w:lang w:val="en-US" w:eastAsia="en-US"/>
              </w:rPr>
              <w:t>(</w:t>
            </w:r>
            <w:r>
              <w:rPr>
                <w:rStyle w:val="80"/>
                <w:rFonts w:ascii="宋体" w:hAnsi="宋体" w:eastAsia="宋体" w:cs="宋体"/>
                <w:color w:val="auto"/>
                <w:sz w:val="21"/>
                <w:szCs w:val="21"/>
                <w:lang w:val="en-US"/>
              </w:rPr>
              <w:t>4</w:t>
            </w:r>
            <w:r>
              <w:rPr>
                <w:rStyle w:val="80"/>
                <w:rFonts w:ascii="宋体" w:hAnsi="宋体" w:eastAsia="宋体" w:cs="宋体"/>
                <w:color w:val="auto"/>
                <w:sz w:val="21"/>
                <w:szCs w:val="21"/>
                <w:lang w:val="en-US" w:eastAsia="en-US"/>
              </w:rPr>
              <w:t>)</w:t>
            </w:r>
          </w:p>
        </w:tc>
        <w:tc>
          <w:tcPr>
            <w:tcW w:w="2908"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pStyle w:val="60"/>
              <w:shd w:val="clear" w:color="auto" w:fill="auto"/>
              <w:spacing w:before="0" w:after="0" w:line="240" w:lineRule="auto"/>
              <w:ind w:firstLine="0"/>
              <w:jc w:val="both"/>
              <w:rPr>
                <w:rFonts w:cs="Times New Roman"/>
                <w:color w:val="auto"/>
              </w:rPr>
            </w:pPr>
            <w:r>
              <w:rPr>
                <w:rStyle w:val="81"/>
                <w:rFonts w:hint="eastAsia" w:ascii="宋体" w:hAnsi="宋体" w:eastAsia="宋体" w:cs="宋体"/>
                <w:color w:val="auto"/>
                <w:sz w:val="21"/>
                <w:szCs w:val="21"/>
              </w:rPr>
              <w:t>暂列金额</w:t>
            </w:r>
          </w:p>
        </w:tc>
        <w:tc>
          <w:tcPr>
            <w:tcW w:w="2082" w:type="dxa"/>
            <w:tcBorders>
              <w:top w:val="single" w:color="000000" w:sz="4" w:space="0"/>
              <w:left w:val="single" w:color="000000" w:sz="4" w:space="0"/>
              <w:bottom w:val="nil"/>
              <w:right w:val="nil"/>
            </w:tcBorders>
            <w:shd w:val="clear" w:color="auto" w:fill="FFFFFF"/>
            <w:tcMar>
              <w:top w:w="0" w:type="dxa"/>
              <w:left w:w="31" w:type="dxa"/>
              <w:bottom w:w="0" w:type="dxa"/>
              <w:right w:w="0" w:type="dxa"/>
            </w:tcMar>
            <w:vAlign w:val="center"/>
          </w:tcPr>
          <w:p>
            <w:pPr>
              <w:rPr>
                <w:rFonts w:cs="Times New Roman"/>
                <w:color w:val="auto"/>
              </w:rPr>
            </w:pPr>
          </w:p>
        </w:tc>
        <w:tc>
          <w:tcPr>
            <w:tcW w:w="2865" w:type="dxa"/>
            <w:tcBorders>
              <w:top w:val="single" w:color="auto" w:sz="4" w:space="0"/>
              <w:left w:val="single" w:color="000000" w:sz="4" w:space="0"/>
              <w:bottom w:val="single" w:color="auto" w:sz="4" w:space="0"/>
              <w:right w:val="single" w:color="000000" w:sz="4" w:space="0"/>
            </w:tcBorders>
            <w:shd w:val="clear" w:color="auto" w:fill="FFFFFF"/>
            <w:tcMar>
              <w:top w:w="0" w:type="dxa"/>
              <w:left w:w="31" w:type="dxa"/>
              <w:bottom w:w="0" w:type="dxa"/>
              <w:right w:w="0" w:type="dxa"/>
            </w:tcMar>
            <w:vAlign w:val="center"/>
          </w:tcPr>
          <w:p>
            <w:pPr>
              <w:pStyle w:val="60"/>
              <w:shd w:val="clear" w:color="auto" w:fill="auto"/>
              <w:tabs>
                <w:tab w:val="left" w:pos="2429"/>
              </w:tabs>
              <w:spacing w:before="0" w:after="0" w:line="240" w:lineRule="auto"/>
              <w:ind w:left="240" w:firstLine="0"/>
              <w:jc w:val="left"/>
              <w:rPr>
                <w:rFonts w:cs="Times New Roman"/>
                <w:color w:val="auto"/>
              </w:rPr>
            </w:pPr>
            <w:r>
              <w:rPr>
                <w:rFonts w:ascii="宋体" w:hAnsi="宋体" w:eastAsia="宋体" w:cs="宋体"/>
                <w:color w:val="auto"/>
                <w:sz w:val="21"/>
                <w:szCs w:val="21"/>
                <w:lang w:eastAsia="en-US"/>
              </w:rPr>
              <w:t>(</w:t>
            </w:r>
            <w:r>
              <w:rPr>
                <w:rFonts w:ascii="宋体" w:hAnsi="宋体" w:eastAsia="宋体" w:cs="宋体"/>
                <w:color w:val="auto"/>
                <w:sz w:val="21"/>
                <w:szCs w:val="21"/>
              </w:rPr>
              <w:t>4</w:t>
            </w:r>
            <w:r>
              <w:rPr>
                <w:rFonts w:ascii="宋体" w:hAnsi="宋体" w:eastAsia="宋体" w:cs="宋体"/>
                <w:color w:val="auto"/>
                <w:sz w:val="21"/>
                <w:szCs w:val="21"/>
                <w:lang w:eastAsia="en-US"/>
              </w:rPr>
              <w:t>)=</w:t>
            </w:r>
            <w:r>
              <w:rPr>
                <w:rFonts w:hint="eastAsia" w:ascii="宋体" w:hAnsi="宋体" w:eastAsia="宋体" w:cs="宋体"/>
                <w:color w:val="auto"/>
                <w:sz w:val="21"/>
                <w:szCs w:val="21"/>
                <w:lang w:eastAsia="en-US"/>
              </w:rPr>
              <w:t>【</w:t>
            </w:r>
            <w:r>
              <w:rPr>
                <w:rFonts w:ascii="宋体" w:hAnsi="宋体" w:eastAsia="宋体" w:cs="宋体"/>
                <w:color w:val="auto"/>
                <w:sz w:val="21"/>
                <w:szCs w:val="21"/>
                <w:lang w:eastAsia="en-US"/>
              </w:rPr>
              <w:t>(</w:t>
            </w:r>
            <w:r>
              <w:rPr>
                <w:rFonts w:ascii="宋体" w:hAnsi="宋体" w:eastAsia="宋体" w:cs="宋体"/>
                <w:color w:val="auto"/>
                <w:sz w:val="21"/>
                <w:szCs w:val="21"/>
              </w:rPr>
              <w:t>2</w:t>
            </w:r>
            <w:r>
              <w:rPr>
                <w:rFonts w:ascii="宋体" w:hAnsi="宋体" w:eastAsia="宋体" w:cs="宋体"/>
                <w:color w:val="auto"/>
                <w:sz w:val="21"/>
                <w:szCs w:val="21"/>
                <w:lang w:eastAsia="en-US"/>
              </w:rPr>
              <w:t>)+(</w:t>
            </w:r>
            <w:r>
              <w:rPr>
                <w:rFonts w:ascii="宋体" w:hAnsi="宋体" w:eastAsia="宋体" w:cs="宋体"/>
                <w:color w:val="auto"/>
                <w:sz w:val="21"/>
                <w:szCs w:val="21"/>
              </w:rPr>
              <w:t>3</w:t>
            </w:r>
            <w:r>
              <w:rPr>
                <w:rStyle w:val="65"/>
                <w:rFonts w:ascii="宋体" w:hAnsi="宋体" w:eastAsia="宋体" w:cs="宋体"/>
                <w:color w:val="auto"/>
                <w:sz w:val="21"/>
                <w:szCs w:val="21"/>
              </w:rPr>
              <w:t>)</w:t>
            </w:r>
            <w:r>
              <w:rPr>
                <w:rStyle w:val="82"/>
                <w:rFonts w:hint="eastAsia"/>
                <w:color w:val="auto"/>
                <w:sz w:val="21"/>
                <w:szCs w:val="21"/>
              </w:rPr>
              <w:t>】</w:t>
            </w:r>
            <w:r>
              <w:rPr>
                <w:rStyle w:val="65"/>
                <w:rFonts w:ascii="宋体" w:hAnsi="宋体" w:eastAsia="宋体" w:cs="宋体"/>
                <w:color w:val="auto"/>
                <w:sz w:val="21"/>
                <w:szCs w:val="21"/>
              </w:rPr>
              <w:t>X</w:t>
            </w:r>
            <w:r>
              <w:rPr>
                <w:rStyle w:val="83"/>
                <w:rFonts w:ascii="宋体" w:hAnsi="宋体" w:eastAsia="宋体" w:cs="宋体"/>
                <w:color w:val="auto"/>
                <w:sz w:val="21"/>
                <w:szCs w:val="21"/>
                <w:u w:val="single"/>
                <w:lang w:eastAsia="zh-CN"/>
              </w:rPr>
              <w:t>/</w:t>
            </w:r>
            <w:r>
              <w:rPr>
                <w:rFonts w:ascii="宋体" w:hAnsi="宋体" w:eastAsia="宋体" w:cs="宋体"/>
                <w:color w:val="auto"/>
                <w:sz w:val="21"/>
                <w:szCs w:val="21"/>
              </w:rPr>
              <w:t>%</w:t>
            </w:r>
          </w:p>
        </w:tc>
      </w:tr>
      <w:tr>
        <w:tblPrEx>
          <w:tblCellMar>
            <w:top w:w="0" w:type="dxa"/>
            <w:left w:w="0" w:type="dxa"/>
            <w:bottom w:w="0" w:type="dxa"/>
            <w:right w:w="0" w:type="dxa"/>
          </w:tblCellMar>
        </w:tblPrEx>
        <w:trPr>
          <w:trHeight w:val="422" w:hRule="atLeast"/>
        </w:trPr>
        <w:tc>
          <w:tcPr>
            <w:tcW w:w="875" w:type="dxa"/>
            <w:tcBorders>
              <w:top w:val="single" w:color="000000" w:sz="4" w:space="0"/>
              <w:left w:val="single" w:color="000000" w:sz="4" w:space="0"/>
              <w:bottom w:val="single" w:color="000000" w:sz="4" w:space="0"/>
              <w:right w:val="nil"/>
            </w:tcBorders>
            <w:shd w:val="clear" w:color="auto" w:fill="FFFFFF"/>
            <w:tcMar>
              <w:top w:w="0" w:type="dxa"/>
              <w:left w:w="31" w:type="dxa"/>
              <w:bottom w:w="0" w:type="dxa"/>
              <w:right w:w="0" w:type="dxa"/>
            </w:tcMar>
            <w:vAlign w:val="center"/>
          </w:tcPr>
          <w:p>
            <w:pPr>
              <w:pStyle w:val="60"/>
              <w:shd w:val="clear" w:color="auto" w:fill="auto"/>
              <w:spacing w:before="0" w:after="0" w:line="240" w:lineRule="auto"/>
              <w:ind w:left="260" w:firstLine="0"/>
              <w:jc w:val="both"/>
              <w:rPr>
                <w:rFonts w:cs="Times New Roman"/>
                <w:color w:val="auto"/>
              </w:rPr>
            </w:pPr>
            <w:r>
              <w:rPr>
                <w:rStyle w:val="80"/>
                <w:rFonts w:ascii="宋体" w:hAnsi="宋体" w:eastAsia="宋体" w:cs="宋体"/>
                <w:color w:val="auto"/>
                <w:sz w:val="21"/>
                <w:szCs w:val="21"/>
                <w:lang w:val="en-US" w:eastAsia="en-US"/>
              </w:rPr>
              <w:t>(</w:t>
            </w:r>
            <w:r>
              <w:rPr>
                <w:rStyle w:val="80"/>
                <w:rFonts w:ascii="宋体" w:hAnsi="宋体" w:eastAsia="宋体" w:cs="宋体"/>
                <w:color w:val="auto"/>
                <w:sz w:val="21"/>
                <w:szCs w:val="21"/>
                <w:lang w:val="en-US"/>
              </w:rPr>
              <w:t>5</w:t>
            </w:r>
            <w:r>
              <w:rPr>
                <w:rStyle w:val="80"/>
                <w:rFonts w:ascii="宋体" w:hAnsi="宋体" w:eastAsia="宋体" w:cs="宋体"/>
                <w:color w:val="auto"/>
                <w:sz w:val="21"/>
                <w:szCs w:val="21"/>
                <w:lang w:val="en-US" w:eastAsia="en-US"/>
              </w:rPr>
              <w:t>)</w:t>
            </w:r>
          </w:p>
        </w:tc>
        <w:tc>
          <w:tcPr>
            <w:tcW w:w="2908" w:type="dxa"/>
            <w:tcBorders>
              <w:top w:val="single" w:color="000000" w:sz="4" w:space="0"/>
              <w:left w:val="single" w:color="000000" w:sz="4" w:space="0"/>
              <w:bottom w:val="single" w:color="000000" w:sz="4" w:space="0"/>
              <w:right w:val="nil"/>
            </w:tcBorders>
            <w:shd w:val="clear" w:color="auto" w:fill="FFFFFF"/>
            <w:tcMar>
              <w:top w:w="0" w:type="dxa"/>
              <w:left w:w="31" w:type="dxa"/>
              <w:bottom w:w="0" w:type="dxa"/>
              <w:right w:w="0" w:type="dxa"/>
            </w:tcMar>
            <w:vAlign w:val="center"/>
          </w:tcPr>
          <w:p>
            <w:pPr>
              <w:pStyle w:val="60"/>
              <w:shd w:val="clear" w:color="auto" w:fill="auto"/>
              <w:spacing w:before="0" w:after="0" w:line="240" w:lineRule="auto"/>
              <w:ind w:firstLine="0"/>
              <w:jc w:val="both"/>
              <w:rPr>
                <w:rFonts w:cs="Times New Roman"/>
                <w:color w:val="auto"/>
              </w:rPr>
            </w:pPr>
            <w:r>
              <w:rPr>
                <w:rStyle w:val="81"/>
                <w:rFonts w:hint="eastAsia" w:ascii="宋体" w:hAnsi="宋体" w:eastAsia="宋体" w:cs="宋体"/>
                <w:color w:val="auto"/>
                <w:sz w:val="21"/>
                <w:szCs w:val="21"/>
              </w:rPr>
              <w:t>投标报价总计</w:t>
            </w:r>
          </w:p>
        </w:tc>
        <w:tc>
          <w:tcPr>
            <w:tcW w:w="2082" w:type="dxa"/>
            <w:tcBorders>
              <w:top w:val="single" w:color="000000" w:sz="4" w:space="0"/>
              <w:left w:val="single" w:color="000000" w:sz="4" w:space="0"/>
              <w:bottom w:val="single" w:color="000000" w:sz="4" w:space="0"/>
              <w:right w:val="nil"/>
            </w:tcBorders>
            <w:shd w:val="clear" w:color="auto" w:fill="FFFFFF"/>
            <w:tcMar>
              <w:top w:w="0" w:type="dxa"/>
              <w:left w:w="31" w:type="dxa"/>
              <w:bottom w:w="0" w:type="dxa"/>
              <w:right w:w="0" w:type="dxa"/>
            </w:tcMar>
            <w:vAlign w:val="center"/>
          </w:tcPr>
          <w:p>
            <w:pPr>
              <w:rPr>
                <w:rFonts w:cs="Times New Roman"/>
                <w:color w:val="auto"/>
              </w:rPr>
            </w:pPr>
          </w:p>
        </w:tc>
        <w:tc>
          <w:tcPr>
            <w:tcW w:w="2865" w:type="dxa"/>
            <w:tcBorders>
              <w:top w:val="single" w:color="auto" w:sz="4" w:space="0"/>
              <w:left w:val="single" w:color="000000" w:sz="4" w:space="0"/>
              <w:bottom w:val="single" w:color="auto" w:sz="4" w:space="0"/>
              <w:right w:val="single" w:color="000000" w:sz="4" w:space="0"/>
            </w:tcBorders>
            <w:shd w:val="clear" w:color="auto" w:fill="FFFFFF"/>
            <w:tcMar>
              <w:top w:w="0" w:type="dxa"/>
              <w:left w:w="31" w:type="dxa"/>
              <w:bottom w:w="0" w:type="dxa"/>
              <w:right w:w="0" w:type="dxa"/>
            </w:tcMar>
            <w:vAlign w:val="center"/>
          </w:tcPr>
          <w:p>
            <w:pPr>
              <w:pStyle w:val="60"/>
              <w:shd w:val="clear" w:color="auto" w:fill="auto"/>
              <w:spacing w:before="0" w:after="0" w:line="240" w:lineRule="auto"/>
              <w:ind w:firstLine="210" w:firstLineChars="100"/>
              <w:jc w:val="both"/>
              <w:rPr>
                <w:rFonts w:cs="Times New Roman"/>
                <w:color w:val="auto"/>
              </w:rPr>
            </w:pPr>
            <w:r>
              <w:rPr>
                <w:rFonts w:ascii="宋体" w:hAnsi="宋体" w:eastAsia="宋体" w:cs="宋体"/>
                <w:color w:val="auto"/>
                <w:sz w:val="21"/>
                <w:szCs w:val="21"/>
                <w:lang w:eastAsia="en-US"/>
              </w:rPr>
              <w:t>(</w:t>
            </w:r>
            <w:r>
              <w:rPr>
                <w:rFonts w:ascii="宋体" w:hAnsi="宋体" w:eastAsia="宋体" w:cs="宋体"/>
                <w:color w:val="auto"/>
                <w:sz w:val="21"/>
                <w:szCs w:val="21"/>
              </w:rPr>
              <w:t>5</w:t>
            </w:r>
            <w:r>
              <w:rPr>
                <w:rFonts w:ascii="宋体" w:hAnsi="宋体" w:eastAsia="宋体" w:cs="宋体"/>
                <w:color w:val="auto"/>
                <w:sz w:val="21"/>
                <w:szCs w:val="21"/>
                <w:lang w:eastAsia="en-US"/>
              </w:rPr>
              <w:t xml:space="preserve">) </w:t>
            </w:r>
            <w:r>
              <w:rPr>
                <w:rFonts w:ascii="宋体" w:hAnsi="宋体" w:eastAsia="宋体" w:cs="宋体"/>
                <w:color w:val="auto"/>
                <w:sz w:val="21"/>
                <w:szCs w:val="21"/>
              </w:rPr>
              <w:t xml:space="preserve">= </w:t>
            </w:r>
            <w:r>
              <w:rPr>
                <w:rFonts w:ascii="宋体" w:hAnsi="宋体" w:eastAsia="宋体" w:cs="宋体"/>
                <w:color w:val="auto"/>
                <w:sz w:val="21"/>
                <w:szCs w:val="21"/>
                <w:lang w:eastAsia="en-US"/>
              </w:rPr>
              <w:t>(</w:t>
            </w:r>
            <w:r>
              <w:rPr>
                <w:rFonts w:ascii="宋体" w:hAnsi="宋体" w:eastAsia="宋体" w:cs="宋体"/>
                <w:color w:val="auto"/>
                <w:sz w:val="21"/>
                <w:szCs w:val="21"/>
              </w:rPr>
              <w:t>2</w:t>
            </w:r>
            <w:r>
              <w:rPr>
                <w:rFonts w:ascii="宋体" w:hAnsi="宋体" w:eastAsia="宋体" w:cs="宋体"/>
                <w:color w:val="auto"/>
                <w:sz w:val="21"/>
                <w:szCs w:val="21"/>
                <w:lang w:eastAsia="en-US"/>
              </w:rPr>
              <w:t xml:space="preserve">) </w:t>
            </w:r>
            <w:r>
              <w:rPr>
                <w:rFonts w:ascii="宋体" w:hAnsi="宋体" w:eastAsia="宋体" w:cs="宋体"/>
                <w:color w:val="auto"/>
                <w:sz w:val="21"/>
                <w:szCs w:val="21"/>
              </w:rPr>
              <w:t xml:space="preserve">+ </w:t>
            </w:r>
            <w:r>
              <w:rPr>
                <w:rFonts w:ascii="宋体" w:hAnsi="宋体" w:eastAsia="宋体" w:cs="宋体"/>
                <w:color w:val="auto"/>
                <w:sz w:val="21"/>
                <w:szCs w:val="21"/>
                <w:lang w:eastAsia="en-US"/>
              </w:rPr>
              <w:t>(</w:t>
            </w:r>
            <w:r>
              <w:rPr>
                <w:rFonts w:ascii="宋体" w:hAnsi="宋体" w:eastAsia="宋体" w:cs="宋体"/>
                <w:color w:val="auto"/>
                <w:sz w:val="21"/>
                <w:szCs w:val="21"/>
              </w:rPr>
              <w:t>3</w:t>
            </w:r>
            <w:r>
              <w:rPr>
                <w:rFonts w:ascii="宋体" w:hAnsi="宋体" w:eastAsia="宋体" w:cs="宋体"/>
                <w:color w:val="auto"/>
                <w:sz w:val="21"/>
                <w:szCs w:val="21"/>
                <w:lang w:eastAsia="en-US"/>
              </w:rPr>
              <w:t xml:space="preserve">) </w:t>
            </w:r>
            <w:r>
              <w:rPr>
                <w:rFonts w:ascii="宋体" w:hAnsi="宋体" w:eastAsia="宋体" w:cs="宋体"/>
                <w:color w:val="auto"/>
                <w:sz w:val="21"/>
                <w:szCs w:val="21"/>
              </w:rPr>
              <w:t xml:space="preserve">+ </w:t>
            </w:r>
            <w:r>
              <w:rPr>
                <w:rFonts w:ascii="宋体" w:hAnsi="宋体" w:eastAsia="宋体" w:cs="宋体"/>
                <w:color w:val="auto"/>
                <w:sz w:val="21"/>
                <w:szCs w:val="21"/>
                <w:lang w:eastAsia="en-US"/>
              </w:rPr>
              <w:t>(</w:t>
            </w:r>
            <w:r>
              <w:rPr>
                <w:rFonts w:ascii="宋体" w:hAnsi="宋体" w:eastAsia="宋体" w:cs="宋体"/>
                <w:color w:val="auto"/>
                <w:sz w:val="21"/>
                <w:szCs w:val="21"/>
              </w:rPr>
              <w:t>4</w:t>
            </w:r>
            <w:r>
              <w:rPr>
                <w:rFonts w:ascii="宋体" w:hAnsi="宋体" w:eastAsia="宋体" w:cs="宋体"/>
                <w:color w:val="auto"/>
                <w:sz w:val="21"/>
                <w:szCs w:val="21"/>
                <w:lang w:eastAsia="en-US"/>
              </w:rPr>
              <w:t>)</w:t>
            </w:r>
          </w:p>
        </w:tc>
      </w:tr>
    </w:tbl>
    <w:p>
      <w:pPr>
        <w:snapToGrid w:val="0"/>
        <w:spacing w:line="360" w:lineRule="auto"/>
        <w:jc w:val="center"/>
        <w:rPr>
          <w:rFonts w:ascii="黑体" w:hAnsi="黑体" w:eastAsia="黑体" w:cs="Times New Roman"/>
          <w:b/>
          <w:bCs/>
          <w:color w:val="auto"/>
          <w:sz w:val="30"/>
          <w:szCs w:val="30"/>
        </w:rPr>
      </w:pPr>
    </w:p>
    <w:p>
      <w:pPr>
        <w:snapToGrid w:val="0"/>
        <w:spacing w:line="360" w:lineRule="auto"/>
        <w:jc w:val="left"/>
        <w:rPr>
          <w:rFonts w:ascii="宋体" w:hAnsi="Times New Roman" w:cs="Times New Roman"/>
          <w:color w:val="auto"/>
          <w:sz w:val="24"/>
          <w:szCs w:val="24"/>
        </w:rPr>
      </w:pPr>
    </w:p>
    <w:p>
      <w:pPr>
        <w:snapToGrid w:val="0"/>
        <w:spacing w:line="360" w:lineRule="auto"/>
        <w:jc w:val="left"/>
        <w:rPr>
          <w:rFonts w:ascii="宋体" w:cs="Times New Roman"/>
          <w:color w:val="auto"/>
          <w:sz w:val="24"/>
          <w:szCs w:val="24"/>
        </w:rPr>
      </w:pPr>
    </w:p>
    <w:p>
      <w:pPr>
        <w:snapToGrid w:val="0"/>
        <w:spacing w:line="360" w:lineRule="auto"/>
        <w:jc w:val="left"/>
        <w:rPr>
          <w:rFonts w:ascii="宋体" w:cs="Times New Roman"/>
          <w:color w:val="auto"/>
          <w:sz w:val="24"/>
          <w:szCs w:val="24"/>
        </w:rPr>
      </w:pPr>
    </w:p>
    <w:p>
      <w:pPr>
        <w:snapToGrid w:val="0"/>
        <w:spacing w:line="360" w:lineRule="auto"/>
        <w:jc w:val="left"/>
        <w:rPr>
          <w:rFonts w:ascii="宋体" w:cs="Times New Roman"/>
          <w:color w:val="auto"/>
          <w:sz w:val="24"/>
          <w:szCs w:val="24"/>
        </w:rPr>
      </w:pPr>
    </w:p>
    <w:p>
      <w:pPr>
        <w:snapToGrid w:val="0"/>
        <w:spacing w:line="360" w:lineRule="auto"/>
        <w:jc w:val="left"/>
        <w:rPr>
          <w:rFonts w:ascii="宋体" w:cs="Times New Roman"/>
          <w:color w:val="auto"/>
          <w:sz w:val="24"/>
          <w:szCs w:val="24"/>
        </w:rPr>
      </w:pPr>
    </w:p>
    <w:p>
      <w:pPr>
        <w:snapToGrid w:val="0"/>
        <w:spacing w:line="360" w:lineRule="auto"/>
        <w:jc w:val="left"/>
        <w:rPr>
          <w:rFonts w:ascii="宋体" w:cs="Times New Roman"/>
          <w:color w:val="auto"/>
          <w:sz w:val="24"/>
          <w:szCs w:val="24"/>
        </w:rPr>
      </w:pPr>
    </w:p>
    <w:p>
      <w:pPr>
        <w:snapToGrid w:val="0"/>
        <w:spacing w:line="360" w:lineRule="auto"/>
        <w:jc w:val="left"/>
        <w:rPr>
          <w:rFonts w:ascii="宋体" w:cs="Times New Roman"/>
          <w:color w:val="auto"/>
          <w:sz w:val="24"/>
          <w:szCs w:val="24"/>
        </w:rPr>
      </w:pPr>
    </w:p>
    <w:p>
      <w:pPr>
        <w:snapToGrid w:val="0"/>
        <w:spacing w:line="360" w:lineRule="auto"/>
        <w:jc w:val="left"/>
        <w:rPr>
          <w:rFonts w:ascii="宋体" w:cs="Times New Roman"/>
          <w:color w:val="auto"/>
          <w:sz w:val="24"/>
          <w:szCs w:val="24"/>
        </w:rPr>
      </w:pPr>
    </w:p>
    <w:p>
      <w:pPr>
        <w:snapToGrid w:val="0"/>
        <w:spacing w:line="360" w:lineRule="auto"/>
        <w:jc w:val="left"/>
        <w:rPr>
          <w:rFonts w:ascii="宋体" w:cs="Times New Roman"/>
          <w:color w:val="auto"/>
          <w:sz w:val="24"/>
          <w:szCs w:val="24"/>
        </w:rPr>
      </w:pPr>
    </w:p>
    <w:p>
      <w:pPr>
        <w:snapToGrid w:val="0"/>
        <w:spacing w:line="360" w:lineRule="auto"/>
        <w:jc w:val="left"/>
        <w:rPr>
          <w:rFonts w:ascii="宋体" w:cs="Times New Roman"/>
          <w:color w:val="auto"/>
          <w:sz w:val="24"/>
          <w:szCs w:val="24"/>
        </w:rPr>
      </w:pPr>
    </w:p>
    <w:p>
      <w:pPr>
        <w:snapToGrid w:val="0"/>
        <w:spacing w:line="360" w:lineRule="auto"/>
        <w:jc w:val="left"/>
        <w:rPr>
          <w:rFonts w:ascii="宋体" w:cs="Times New Roman"/>
          <w:color w:val="auto"/>
          <w:sz w:val="24"/>
          <w:szCs w:val="24"/>
        </w:rPr>
      </w:pPr>
    </w:p>
    <w:p>
      <w:pPr>
        <w:snapToGrid w:val="0"/>
        <w:spacing w:line="360" w:lineRule="auto"/>
        <w:jc w:val="left"/>
        <w:rPr>
          <w:rFonts w:ascii="宋体" w:cs="Times New Roman"/>
          <w:color w:val="auto"/>
          <w:sz w:val="24"/>
          <w:szCs w:val="24"/>
        </w:rPr>
      </w:pPr>
    </w:p>
    <w:p>
      <w:pPr>
        <w:snapToGrid w:val="0"/>
        <w:spacing w:line="360" w:lineRule="auto"/>
        <w:jc w:val="left"/>
        <w:rPr>
          <w:rFonts w:ascii="宋体" w:cs="Times New Roman"/>
          <w:color w:val="auto"/>
          <w:sz w:val="24"/>
          <w:szCs w:val="24"/>
        </w:rPr>
      </w:pPr>
    </w:p>
    <w:p>
      <w:pPr>
        <w:snapToGrid w:val="0"/>
        <w:spacing w:line="360" w:lineRule="auto"/>
        <w:jc w:val="left"/>
        <w:rPr>
          <w:rFonts w:ascii="宋体" w:cs="Times New Roman"/>
          <w:color w:val="auto"/>
          <w:sz w:val="24"/>
          <w:szCs w:val="24"/>
        </w:rPr>
      </w:pPr>
    </w:p>
    <w:p>
      <w:pPr>
        <w:snapToGrid w:val="0"/>
        <w:spacing w:line="360" w:lineRule="auto"/>
        <w:jc w:val="left"/>
        <w:rPr>
          <w:rFonts w:ascii="宋体" w:cs="Times New Roman"/>
          <w:color w:val="auto"/>
          <w:sz w:val="24"/>
          <w:szCs w:val="24"/>
        </w:rPr>
      </w:pPr>
    </w:p>
    <w:p>
      <w:pPr>
        <w:snapToGrid w:val="0"/>
        <w:spacing w:line="360" w:lineRule="auto"/>
        <w:jc w:val="center"/>
        <w:rPr>
          <w:rFonts w:cs="Times New Roman"/>
          <w:color w:val="auto"/>
          <w:spacing w:val="-4"/>
          <w:kern w:val="0"/>
        </w:rPr>
      </w:pPr>
    </w:p>
    <w:sectPr>
      <w:footnotePr>
        <w:numFmt w:val="decimalEnclosedCircle"/>
        <w:numRestart w:val="eachPage"/>
      </w:footnotePr>
      <w:pgSz w:w="11907" w:h="16840"/>
      <w:pgMar w:top="1440" w:right="1644" w:bottom="1440" w:left="179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falt">
    <w:altName w:val="Microsoft JhengHei"/>
    <w:panose1 w:val="00000000000000000000"/>
    <w:charset w:val="88"/>
    <w:family w:val="modern"/>
    <w:pitch w:val="default"/>
    <w:sig w:usb0="00000000" w:usb1="00000000" w:usb2="00000010" w:usb3="00000000" w:csb0="00100000" w:csb1="00000000"/>
  </w:font>
  <w:font w:name="Microsoft JhengHei">
    <w:panose1 w:val="020B0604030504040204"/>
    <w:charset w:val="88"/>
    <w:family w:val="auto"/>
    <w:pitch w:val="default"/>
    <w:sig w:usb0="00000087" w:usb1="28AF4000" w:usb2="00000016" w:usb3="00000000" w:csb0="00100009"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cs="Times New Roman"/>
      </w:rPr>
    </w:pPr>
    <w:r>
      <w:pict>
        <v:shape id="文本框 1026" o:spid="_x0000_s308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VjX3ssBAACc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aDEcYsDv3z/dvnx6/LzK1lW&#10;q5usUB+gxsTHgKlpuPdDzp78gM5MfFDR5i9SIhhHfc9XfeWQiMiP1qv1usKQwNh8QRz29DxESG+l&#10;tyQbDY04wKIrP72HNKbOKbma8w/aGPTz2ri/HIiZPSz3PvaYrTTsh6nxvW/PyKfH2TfU4apTYt45&#10;lDavyWzE2djPxjFEfejKHuV6EO6OCZsoveUKI+xUGIdW2E0Llrfiz3vJevq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lY197LAQAAnAMAAA4AAAAAAAAAAQAgAAAAHgEAAGRycy9lMm9E&#10;b2MueG1sUEsFBgAAAAAGAAYAWQEAAFsFAAAAAA==&#10;">
          <v:path/>
          <v:fill on="f" focussize="0,0"/>
          <v:stroke on="f" joinstyle="miter"/>
          <v:imagedata o:title=""/>
          <o:lock v:ext="edit"/>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gL3s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ZIC97LAQAAnAMAAA4AAAAAAAAAAQAgAAAAHgEAAGRycy9lMm9E&#10;b2MueG1sUEsFBgAAAAAGAAYAWQEAAFsFAAAAAA==&#10;">
          <v:path/>
          <v:fill on="f" focussize="0,0"/>
          <v:stroke on="f" joinstyle="miter"/>
          <v:imagedata o:title=""/>
          <o:lock v:ext="edit"/>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r>
      <w:pict>
        <v:shape id="文本框 1167" o:spid="_x0000_s3085" o:spt="202" type="#_x0000_t202" style="position:absolute;left:0pt;margin-left:293.3pt;margin-top:779.35pt;height:9.75pt;width:8.55pt;mso-position-horizontal-relative:page;mso-position-vertical-relative:page;mso-wrap-style:none;z-index:-251646976;mso-width-relative:page;mso-height-relative:page;" filled="f" stroked="f" coordsize="21600,21600" o:gfxdata="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7l3v3YAAAADQEAAA8AAAAAAAAAAQAgAAAAIgAA&#10;AGRycy9kb3ducmV2LnhtbFBLAQIUABQAAAAIAIdO4kDuIZqkzwEAAJsDAAAOAAAAAAAAAAEAIAAA&#10;ACcBAABkcnMvZTJvRG9jLnhtbFBLBQYAAAAABgAGAFkBAABoBQAAAAA=&#10;">
          <v:path/>
          <v:fill on="f" focussize="0,0"/>
          <v:stroke on="f" joinstyle="miter"/>
          <v:imagedata o:title=""/>
          <o:lock v:ext="edit"/>
          <v:textbox inset="0mm,0mm,0mm,0mm" style="mso-fit-shape-to-text:t;">
            <w:txbxContent>
              <w:p>
                <w:pPr>
                  <w:pStyle w:val="74"/>
                  <w:shd w:val="clear" w:color="auto" w:fill="auto"/>
                  <w:spacing w:line="240" w:lineRule="auto"/>
                  <w:rPr>
                    <w:rFonts w:cs="Times New Roman"/>
                  </w:rPr>
                </w:pPr>
                <w:r>
                  <w:fldChar w:fldCharType="begin"/>
                </w:r>
                <w:r>
                  <w:instrText xml:space="preserve"> PAGE \* MERGEFORMAT </w:instrText>
                </w:r>
                <w:r>
                  <w:fldChar w:fldCharType="separate"/>
                </w:r>
                <w:r>
                  <w:rPr>
                    <w:rStyle w:val="75"/>
                    <w:b w:val="0"/>
                    <w:bCs w:val="0"/>
                  </w:rPr>
                  <w:t>37</w:t>
                </w:r>
                <w:r>
                  <w:rPr>
                    <w:b w:val="0"/>
                    <w:bCs w:val="0"/>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r>
      <w:pict>
        <v:shape id="文本框 1166" o:spid="_x0000_s3082" o:spt="202" type="#_x0000_t202" style="position:absolute;left:0pt;margin-left:293.3pt;margin-top:779.35pt;height:9.75pt;width:8.55pt;mso-position-horizontal-relative:page;mso-position-vertical-relative:page;mso-wrap-style:none;z-index:-251648000;mso-width-relative:page;mso-height-relative:page;" filled="f" stroked="f" coordsize="21600,21600" o:gfxdata="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7l3v3YAAAADQEAAA8AAAAAAAAAAQAgAAAAIgAA&#10;AGRycy9kb3ducmV2LnhtbFBLAQIUABQAAAAIAIdO4kD0ZJTmzwEAAJsDAAAOAAAAAAAAAAEAIAAA&#10;ACcBAABkcnMvZTJvRG9jLnhtbFBLBQYAAAAABgAGAFkBAABoBQAAAAA=&#10;">
          <v:path/>
          <v:fill on="f" focussize="0,0"/>
          <v:stroke on="f" joinstyle="miter"/>
          <v:imagedata o:title=""/>
          <o:lock v:ext="edit"/>
          <v:textbox inset="0mm,0mm,0mm,0mm" style="mso-fit-shape-to-text:t;">
            <w:txbxContent>
              <w:p>
                <w:pPr>
                  <w:pStyle w:val="74"/>
                  <w:shd w:val="clear" w:color="auto" w:fill="auto"/>
                  <w:spacing w:line="240" w:lineRule="auto"/>
                  <w:rPr>
                    <w:rFonts w:cs="Times New Roman"/>
                  </w:rPr>
                </w:pPr>
                <w:r>
                  <w:fldChar w:fldCharType="begin"/>
                </w:r>
                <w:r>
                  <w:instrText xml:space="preserve"> PAGE \* MERGEFORMAT </w:instrText>
                </w:r>
                <w:r>
                  <w:fldChar w:fldCharType="separate"/>
                </w:r>
                <w:r>
                  <w:rPr>
                    <w:rStyle w:val="75"/>
                    <w:b w:val="0"/>
                    <w:bCs w:val="0"/>
                  </w:rPr>
                  <w:t>66</w:t>
                </w:r>
                <w:r>
                  <w:rPr>
                    <w:b w:val="0"/>
                    <w:bCs w:val="0"/>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r>
      <w:pict>
        <v:shape id="文本框 1173" o:spid="_x0000_s3081" o:spt="202" type="#_x0000_t202" style="position:absolute;left:0pt;margin-left:295.35pt;margin-top:779.8pt;height:9.75pt;width:8.55pt;mso-position-horizontal-relative:page;mso-position-vertical-relative:page;mso-wrap-style:none;z-index:-251643904;mso-width-relative:page;mso-height-relative:page;" filled="f" stroked="f" coordsize="21600,21600" o:gfxdata="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oPVledgAAAANAQAADwAAAAAAAAABACAAAAAi&#10;AAAAZHJzL2Rvd25yZXYueG1sUEsBAhQAFAAAAAgAh07iQDtvpO/RAQAAmwMAAA4AAAAAAAAAAQAg&#10;AAAAJwEAAGRycy9lMm9Eb2MueG1sUEsFBgAAAAAGAAYAWQEAAGoFAAAAAA==&#10;">
          <v:path/>
          <v:fill on="f" focussize="0,0"/>
          <v:stroke on="f" joinstyle="miter"/>
          <v:imagedata o:title=""/>
          <o:lock v:ext="edit"/>
          <v:textbox inset="0mm,0mm,0mm,0mm" style="mso-fit-shape-to-text:t;">
            <w:txbxContent>
              <w:p>
                <w:pPr>
                  <w:pStyle w:val="74"/>
                  <w:shd w:val="clear" w:color="auto" w:fill="auto"/>
                  <w:spacing w:line="240" w:lineRule="auto"/>
                  <w:rPr>
                    <w:rFonts w:cs="Times New Roman"/>
                  </w:rPr>
                </w:pPr>
                <w:r>
                  <w:fldChar w:fldCharType="begin"/>
                </w:r>
                <w:r>
                  <w:instrText xml:space="preserve"> PAGE \* MERGEFORMAT </w:instrText>
                </w:r>
                <w:r>
                  <w:fldChar w:fldCharType="separate"/>
                </w:r>
                <w:r>
                  <w:rPr>
                    <w:rStyle w:val="77"/>
                    <w:b w:val="0"/>
                    <w:bCs w:val="0"/>
                  </w:rPr>
                  <w:t>68</w:t>
                </w:r>
                <w:r>
                  <w:rPr>
                    <w:b w:val="0"/>
                    <w:bCs w:val="0"/>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r>
      <w:pict>
        <v:shape id="文本框 1172" o:spid="_x0000_s3078" o:spt="202" type="#_x0000_t202" style="position:absolute;left:0pt;margin-left:295.35pt;margin-top:779.8pt;height:9.75pt;width:8.55pt;mso-position-horizontal-relative:page;mso-position-vertical-relative:page;mso-wrap-style:none;z-index:-251644928;mso-width-relative:page;mso-height-relative:page;" filled="f" stroked="f" coordsize="21600,21600" o:gfxdata="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g9WV52AAAAA0BAAAPAAAAAAAAAAEAIAAAACIA&#10;AABkcnMvZG93bnJldi54bWxQSwECFAAUAAAACACHTuJAFPdNf9ABAACbAwAADgAAAAAAAAABACAA&#10;AAAnAQAAZHJzL2Uyb0RvYy54bWxQSwUGAAAAAAYABgBZAQAAaQUAAAAA&#10;">
          <v:path/>
          <v:fill on="f" focussize="0,0"/>
          <v:stroke on="f" joinstyle="miter"/>
          <v:imagedata o:title=""/>
          <o:lock v:ext="edit"/>
          <v:textbox inset="0mm,0mm,0mm,0mm" style="mso-fit-shape-to-text:t;">
            <w:txbxContent>
              <w:p>
                <w:pPr>
                  <w:pStyle w:val="74"/>
                  <w:shd w:val="clear" w:color="auto" w:fill="auto"/>
                  <w:spacing w:line="240" w:lineRule="auto"/>
                  <w:rPr>
                    <w:rFonts w:cs="Times New Roman"/>
                  </w:rPr>
                </w:pPr>
                <w:r>
                  <w:fldChar w:fldCharType="begin"/>
                </w:r>
                <w:r>
                  <w:instrText xml:space="preserve"> PAGE \* MERGEFORMAT </w:instrText>
                </w:r>
                <w:r>
                  <w:fldChar w:fldCharType="separate"/>
                </w:r>
                <w:r>
                  <w:rPr>
                    <w:rStyle w:val="77"/>
                    <w:b w:val="0"/>
                    <w:bCs w:val="0"/>
                  </w:rPr>
                  <w:t>68</w:t>
                </w:r>
                <w:r>
                  <w:rPr>
                    <w:b w:val="0"/>
                    <w:bCs w:val="0"/>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r>
      <w:pict>
        <v:shape id="文本框 1179" o:spid="_x0000_s3077" o:spt="202" type="#_x0000_t202" style="position:absolute;left:0pt;margin-left:293.3pt;margin-top:779.35pt;height:9.75pt;width:8.55pt;mso-position-horizontal-relative:page;mso-position-vertical-relative:page;mso-wrap-style:none;z-index:-251650048;mso-width-relative:page;mso-height-relative:page;" filled="f" stroked="f" coordsize="21600,21600" o:gfxdata="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7l3v3YAAAADQEAAA8AAAAAAAAAAQAgAAAAIgAA&#10;AGRycy9kb3ducmV2LnhtbFBLAQIUABQAAAAIAIdO4kDVVXiUzwEAAJoDAAAOAAAAAAAAAAEAIAAA&#10;ACcBAABkcnMvZTJvRG9jLnhtbFBLBQYAAAAABgAGAFkBAABoBQAAAAA=&#10;">
          <v:path/>
          <v:fill on="f" focussize="0,0"/>
          <v:stroke on="f" joinstyle="miter"/>
          <v:imagedata o:title=""/>
          <o:lock v:ext="edit"/>
          <v:textbox inset="0mm,0mm,0mm,0mm" style="mso-fit-shape-to-text:t;">
            <w:txbxContent>
              <w:p>
                <w:pPr>
                  <w:pStyle w:val="74"/>
                  <w:shd w:val="clear" w:color="auto" w:fill="auto"/>
                  <w:spacing w:line="240" w:lineRule="auto"/>
                  <w:rPr>
                    <w:rFonts w:cs="Times New Roman"/>
                  </w:rPr>
                </w:pPr>
                <w:r>
                  <w:fldChar w:fldCharType="begin"/>
                </w:r>
                <w:r>
                  <w:instrText xml:space="preserve"> PAGE \* MERGEFORMAT </w:instrText>
                </w:r>
                <w:r>
                  <w:fldChar w:fldCharType="separate"/>
                </w:r>
                <w:r>
                  <w:rPr>
                    <w:rStyle w:val="75"/>
                    <w:b w:val="0"/>
                    <w:bCs w:val="0"/>
                  </w:rPr>
                  <w:t>73</w:t>
                </w:r>
                <w:r>
                  <w:rPr>
                    <w:b w:val="0"/>
                    <w:bCs w:val="0"/>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r>
      <w:pict>
        <v:shape id="文本框 1178" o:spid="_x0000_s3074" o:spt="202" type="#_x0000_t202" style="position:absolute;left:0pt;margin-left:293.3pt;margin-top:779.35pt;height:9.75pt;width:8.55pt;mso-position-horizontal-relative:page;mso-position-vertical-relative:page;mso-wrap-style:none;z-index:-251651072;mso-width-relative:page;mso-height-relative:page;" filled="f" stroked="f" coordsize="21600,21600" o:gfxdata="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5d792AAAAA0BAAAPAAAAAAAAAAEAIAAAACIA&#10;AABkcnMvZG93bnJldi54bWxQSwECFAAUAAAACACHTuJA9+eV5tABAACaAwAADgAAAAAAAAABACAA&#10;AAAnAQAAZHJzL2Uyb0RvYy54bWxQSwUGAAAAAAYABgBZAQAAaQUAAAAA&#10;">
          <v:path/>
          <v:fill on="f" focussize="0,0"/>
          <v:stroke on="f" joinstyle="miter"/>
          <v:imagedata o:title=""/>
          <o:lock v:ext="edit"/>
          <v:textbox inset="0mm,0mm,0mm,0mm" style="mso-fit-shape-to-text:t;">
            <w:txbxContent>
              <w:p>
                <w:pPr>
                  <w:pStyle w:val="74"/>
                  <w:shd w:val="clear" w:color="auto" w:fill="auto"/>
                  <w:spacing w:line="240" w:lineRule="auto"/>
                  <w:rPr>
                    <w:rFonts w:cs="Times New Roman"/>
                  </w:rPr>
                </w:pPr>
                <w:r>
                  <w:fldChar w:fldCharType="begin"/>
                </w:r>
                <w:r>
                  <w:instrText xml:space="preserve"> PAGE \* MERGEFORMAT </w:instrText>
                </w:r>
                <w:r>
                  <w:fldChar w:fldCharType="separate"/>
                </w:r>
                <w:r>
                  <w:rPr>
                    <w:rStyle w:val="75"/>
                    <w:b w:val="0"/>
                    <w:bCs w:val="0"/>
                  </w:rPr>
                  <w:t>72</w:t>
                </w:r>
                <w:r>
                  <w:rPr>
                    <w:b w:val="0"/>
                    <w:bCs w:val="0"/>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cs="Times New Roman"/>
      </w:rPr>
    </w:pPr>
    <w:r>
      <w:pict>
        <v:shape id="文本框 1027" o:spid="_x0000_s3073"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4plRcoBAACc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4plRcoBAACcAwAADgAAAAAAAAABACAAAAAeAQAAZHJzL2Uyb0Rv&#10;Yy54bWxQSwUGAAAAAAYABgBZAQAAWgUAAAAA&#10;">
          <v:path/>
          <v:fill on="f" focussize="0,0"/>
          <v:stroke on="f" joinstyle="miter"/>
          <v:imagedata o:title=""/>
          <o:lock v:ext="edit"/>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101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r>
      <w:pict>
        <v:shape id="文本框 1162" o:spid="_x0000_s3084" o:spt="202" type="#_x0000_t202" style="position:absolute;left:0pt;margin-left:82.7pt;margin-top:44.35pt;height:13pt;width:206.05pt;mso-position-horizontal-relative:page;mso-position-vertical-relative:page;mso-wrap-style:none;z-index:-251649024;mso-width-relative:page;mso-height-relative:page;" filled="f" stroked="f" coordsize="21600,21600" o:gfxdata="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qO9yHVAAAACgEAAA8AAAAAAAAAAQAgAAAAIgAA&#10;AGRycy9kb3ducmV2LnhtbFBLAQIUABQAAAAIAIdO4kCi6O000gEAAJsDAAAOAAAAAAAAAAEAIAAA&#10;ACQBAABkcnMvZTJvRG9jLnhtbFBLBQYAAAAABgAGAFkBAABoBQAAAAA=&#10;">
          <v:path/>
          <v:fill on="f" focussize="0,0"/>
          <v:stroke on="f" joinstyle="miter"/>
          <v:imagedata o:title=""/>
          <o:lock v:ext="edit"/>
          <v:textbox inset="0mm,0mm,0mm,0mm" style="mso-fit-shape-to-text:t;">
            <w:txbxContent>
              <w:p>
                <w:pPr>
                  <w:pStyle w:val="74"/>
                  <w:shd w:val="clear" w:color="auto" w:fill="auto"/>
                  <w:spacing w:line="240" w:lineRule="auto"/>
                </w:pPr>
                <w:r>
                  <w:rPr>
                    <w:rFonts w:hint="eastAsia"/>
                  </w:rPr>
                  <w:t>公路工程标准勘察设计招标文件</w:t>
                </w:r>
                <w:r>
                  <w:t>(2018</w:t>
                </w:r>
                <w:r>
                  <w:rPr>
                    <w:rFonts w:hint="eastAsia"/>
                  </w:rPr>
                  <w:t>年版</w:t>
                </w:r>
                <w:r>
                  <w:t>)</w:t>
                </w:r>
              </w:p>
            </w:txbxContent>
          </v:textbox>
        </v:shape>
      </w:pict>
    </w:r>
    <w:r>
      <w:pict>
        <v:shape id="自选图形 1163" o:spid="_x0000_s3083" o:spt="32" type="#_x0000_t32" style="position:absolute;left:0pt;margin-left:80.55pt;margin-top:57.5pt;height:0pt;width:437.05pt;mso-position-horizontal-relative:page;mso-position-vertical-relative:page;z-index:-251653120;mso-width-relative:page;mso-height-relative:page;" filled="f" coordsize="21600,21600" o:gfxdata="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OhbdUAAAAMAQAADwAAAAAAAAABACAAAAAiAAAAZHJzL2Rvd25yZXYueG1sUEsB&#10;AhQAFAAAAAgAh07iQPH0cNb4AQAA5wMAAA4AAAAAAAAAAQAgAAAAJAEAAGRycy9lMm9Eb2MueG1s&#10;UEsFBgAAAAAGAAYAWQEAAI4FAAAAAA==&#10;">
          <v:path arrowok="t"/>
          <v:fill on="f" focussize="0,0"/>
          <v:stroke weight="1pt"/>
          <v:imagedata o:title=""/>
          <o:lock v:ext="edi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r>
      <w:pict>
        <v:shape id="文本框 1168" o:spid="_x0000_s3080" o:spt="202" type="#_x0000_t202" style="position:absolute;left:0pt;margin-left:80.65pt;margin-top:44.2pt;height:13pt;width:219.8pt;mso-position-horizontal-relative:page;mso-position-vertical-relative:page;mso-wrap-style:none;z-index:-251645952;mso-width-relative:page;mso-height-relative:page;" filled="f" stroked="f" coordsize="21600,21600" o:gfxdata="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og+Df9UAAAAKAQAADwAAAAAAAAABACAAAAAiAAAA&#10;ZHJzL2Rvd25yZXYueG1sUEsBAhQAFAAAAAgAh07iQKsehQDRAQAAnAMAAA4AAAAAAAAAAQAgAAAA&#10;JAEAAGRycy9lMm9Eb2MueG1sUEsFBgAAAAAGAAYAWQEAAGcFAAAAAA==&#10;">
          <v:path/>
          <v:fill on="f" focussize="0,0"/>
          <v:stroke on="f" joinstyle="miter"/>
          <v:imagedata o:title=""/>
          <o:lock v:ext="edit"/>
          <v:textbox inset="0mm,0mm,0mm,0mm" style="mso-fit-shape-to-text:t;">
            <w:txbxContent>
              <w:p>
                <w:pPr>
                  <w:pStyle w:val="74"/>
                  <w:shd w:val="clear" w:color="auto" w:fill="auto"/>
                  <w:spacing w:line="240" w:lineRule="auto"/>
                  <w:rPr>
                    <w:rFonts w:cs="Times New Roman"/>
                  </w:rPr>
                </w:pPr>
                <w:r>
                  <w:rPr>
                    <w:rStyle w:val="76"/>
                    <w:rFonts w:hint="eastAsia"/>
                    <w:b/>
                    <w:bCs/>
                  </w:rPr>
                  <w:t>公路工程标准勘察设计招标文件</w:t>
                </w:r>
                <w:r>
                  <w:rPr>
                    <w:rStyle w:val="76"/>
                    <w:rFonts w:hint="eastAsia"/>
                    <w:b/>
                    <w:bCs/>
                    <w:lang w:val="en-US"/>
                  </w:rPr>
                  <w:t>（</w:t>
                </w:r>
                <w:r>
                  <w:rPr>
                    <w:rStyle w:val="76"/>
                    <w:b/>
                    <w:bCs/>
                    <w:lang w:val="en-US"/>
                  </w:rPr>
                  <w:t>2018</w:t>
                </w:r>
                <w:r>
                  <w:rPr>
                    <w:rStyle w:val="76"/>
                    <w:rFonts w:hint="eastAsia"/>
                    <w:b/>
                    <w:bCs/>
                  </w:rPr>
                  <w:t>年版）</w:t>
                </w:r>
              </w:p>
            </w:txbxContent>
          </v:textbox>
        </v:shape>
      </w:pict>
    </w:r>
    <w:r>
      <w:pict>
        <v:shape id="自选图形 1169" o:spid="_x0000_s3079" o:spt="32" type="#_x0000_t32" style="position:absolute;left:0pt;margin-left:78.6pt;margin-top:57.5pt;height:0pt;width:442.55pt;mso-position-horizontal-relative:page;mso-position-vertical-relative:page;z-index:-251654144;mso-width-relative:page;mso-height-relative:page;" filled="f" coordsize="21600,21600" o:gfxdata="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Pe5lfVAAAADAEAAA8AAAAAAAAAAQAgAAAAIgAAAGRycy9kb3ducmV2LnhtbFBL&#10;AQIUABQAAAAIAIdO4kDn15fR+QEAAOcDAAAOAAAAAAAAAAEAIAAAACQBAABkcnMvZTJvRG9jLnht&#10;bFBLBQYAAAAABgAGAFkBAACPBQAAAAA=&#10;">
          <v:path arrowok="t"/>
          <v:fill on="f" focussize="0,0"/>
          <v:stroke weight="1pt"/>
          <v:imagedata o:title=""/>
          <o:lock v:ext="edit"/>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r>
      <w:pict>
        <v:shape id="文本框 1174" o:spid="_x0000_s3076" o:spt="202" type="#_x0000_t202" style="position:absolute;left:0pt;margin-left:82.7pt;margin-top:44.35pt;height:13pt;width:206.05pt;mso-position-horizontal-relative:page;mso-position-vertical-relative:page;mso-wrap-style:none;z-index:-251642880;mso-width-relative:page;mso-height-relative:page;" filled="f" stroked="f" coordsize="21600,21600" o:gfxdata="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o73IdUAAAAKAQAADwAAAAAAAAABACAAAAAiAAAA&#10;ZHJzL2Rvd25yZXYueG1sUEsBAhQAFAAAAAgAh07iQJiJFwLRAQAAnAMAAA4AAAAAAAAAAQAgAAAA&#10;JAEAAGRycy9lMm9Eb2MueG1sUEsFBgAAAAAGAAYAWQEAAGcFAAAAAA==&#10;">
          <v:path/>
          <v:fill on="f" focussize="0,0"/>
          <v:stroke on="f" joinstyle="miter"/>
          <v:imagedata o:title=""/>
          <o:lock v:ext="edit"/>
          <v:textbox inset="0mm,0mm,0mm,0mm" style="mso-fit-shape-to-text:t;">
            <w:txbxContent>
              <w:p>
                <w:pPr>
                  <w:pStyle w:val="74"/>
                  <w:shd w:val="clear" w:color="auto" w:fill="auto"/>
                  <w:spacing w:line="240" w:lineRule="auto"/>
                </w:pPr>
                <w:r>
                  <w:rPr>
                    <w:rFonts w:hint="eastAsia"/>
                  </w:rPr>
                  <w:t>公路工程标准勘察设计招标文件</w:t>
                </w:r>
                <w:r>
                  <w:t>(2018</w:t>
                </w:r>
                <w:r>
                  <w:rPr>
                    <w:rFonts w:hint="eastAsia"/>
                  </w:rPr>
                  <w:t>年版</w:t>
                </w:r>
                <w:r>
                  <w:t>)</w:t>
                </w:r>
              </w:p>
            </w:txbxContent>
          </v:textbox>
        </v:shape>
      </w:pict>
    </w:r>
    <w:r>
      <w:pict>
        <v:shape id="自选图形 1175" o:spid="_x0000_s3075" o:spt="32" type="#_x0000_t32" style="position:absolute;left:0pt;margin-left:80.55pt;margin-top:57.5pt;height:0pt;width:437.05pt;mso-position-horizontal-relative:page;mso-position-vertical-relative:page;z-index:-251652096;mso-width-relative:page;mso-height-relative:page;" filled="f" coordsize="21600,21600" o:gfxdata="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OhbdUAAAAMAQAADwAAAAAAAAABACAAAAAiAAAAZHJzL2Rvd25yZXYueG1sUEsB&#10;AhQAFAAAAAgAh07iQCcypBf4AQAA5wMAAA4AAAAAAAAAAQAgAAAAJAEAAGRycy9lMm9Eb2MueG1s&#10;UEsFBgAAAAAGAAYAWQEAAI4FAAAAAA==&#10;">
          <v:path arrowok="t"/>
          <v:fill on="f" focussize="0,0"/>
          <v:stroke weight="1pt"/>
          <v:imagedata o:title=""/>
          <o:lock v:ext="edit"/>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rPr>
        <w:rFonts w:hAnsi="Times New Roman" w:cs="Times New Roman"/>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F05207"/>
    <w:multiLevelType w:val="singleLevel"/>
    <w:tmpl w:val="A0F05207"/>
    <w:lvl w:ilvl="0" w:tentative="0">
      <w:start w:val="1"/>
      <w:numFmt w:val="decimal"/>
      <w:lvlText w:val="(%1)"/>
      <w:lvlJc w:val="left"/>
      <w:rPr>
        <w:rFonts w:ascii="PMingLiU" w:hAnsi="PMingLiU" w:eastAsia="PMingLiU"/>
        <w:b w:val="0"/>
        <w:bCs w:val="0"/>
        <w:i w:val="0"/>
        <w:iCs w:val="0"/>
        <w:smallCaps w:val="0"/>
        <w:strike w:val="0"/>
        <w:color w:val="000000"/>
        <w:spacing w:val="0"/>
        <w:w w:val="100"/>
        <w:position w:val="0"/>
        <w:sz w:val="22"/>
        <w:szCs w:val="22"/>
        <w:u w:val="none"/>
      </w:rPr>
    </w:lvl>
  </w:abstractNum>
  <w:abstractNum w:abstractNumId="1">
    <w:nsid w:val="B53F3350"/>
    <w:multiLevelType w:val="singleLevel"/>
    <w:tmpl w:val="B53F3350"/>
    <w:lvl w:ilvl="0" w:tentative="0">
      <w:start w:val="1"/>
      <w:numFmt w:val="decimal"/>
      <w:lvlText w:val="(%1)"/>
      <w:lvlJc w:val="left"/>
      <w:rPr>
        <w:rFonts w:ascii="PMingLiU" w:hAnsi="PMingLiU" w:eastAsia="PMingLiU"/>
        <w:b w:val="0"/>
        <w:bCs w:val="0"/>
        <w:i w:val="0"/>
        <w:iCs w:val="0"/>
        <w:smallCaps w:val="0"/>
        <w:strike w:val="0"/>
        <w:color w:val="000000"/>
        <w:spacing w:val="0"/>
        <w:w w:val="100"/>
        <w:position w:val="0"/>
        <w:sz w:val="22"/>
        <w:szCs w:val="22"/>
        <w:u w:val="none"/>
      </w:rPr>
    </w:lvl>
  </w:abstractNum>
  <w:abstractNum w:abstractNumId="2">
    <w:nsid w:val="C0915F4F"/>
    <w:multiLevelType w:val="singleLevel"/>
    <w:tmpl w:val="C0915F4F"/>
    <w:lvl w:ilvl="0" w:tentative="0">
      <w:start w:val="1"/>
      <w:numFmt w:val="decimal"/>
      <w:lvlText w:val="(%1)"/>
      <w:lvlJc w:val="left"/>
      <w:rPr>
        <w:rFonts w:ascii="PMingLiU" w:hAnsi="PMingLiU" w:eastAsia="PMingLiU"/>
        <w:b w:val="0"/>
        <w:bCs w:val="0"/>
        <w:i w:val="0"/>
        <w:iCs w:val="0"/>
        <w:smallCaps w:val="0"/>
        <w:strike w:val="0"/>
        <w:color w:val="000000"/>
        <w:spacing w:val="0"/>
        <w:w w:val="100"/>
        <w:position w:val="0"/>
        <w:sz w:val="22"/>
        <w:szCs w:val="22"/>
        <w:u w:val="none"/>
      </w:rPr>
    </w:lvl>
  </w:abstractNum>
  <w:abstractNum w:abstractNumId="3">
    <w:nsid w:val="D7D140E4"/>
    <w:multiLevelType w:val="singleLevel"/>
    <w:tmpl w:val="D7D140E4"/>
    <w:lvl w:ilvl="0" w:tentative="0">
      <w:start w:val="1"/>
      <w:numFmt w:val="decimal"/>
      <w:lvlText w:val="%1."/>
      <w:lvlJc w:val="left"/>
      <w:rPr>
        <w:rFonts w:ascii="PMingLiU" w:hAnsi="PMingLiU" w:eastAsia="PMingLiU"/>
        <w:b w:val="0"/>
        <w:bCs w:val="0"/>
        <w:i w:val="0"/>
        <w:iCs w:val="0"/>
        <w:smallCaps w:val="0"/>
        <w:strike w:val="0"/>
        <w:color w:val="000000"/>
        <w:spacing w:val="20"/>
        <w:w w:val="100"/>
        <w:position w:val="0"/>
        <w:sz w:val="26"/>
        <w:szCs w:val="26"/>
        <w:u w:val="none"/>
      </w:rPr>
    </w:lvl>
  </w:abstractNum>
  <w:abstractNum w:abstractNumId="4">
    <w:nsid w:val="F0E89278"/>
    <w:multiLevelType w:val="singleLevel"/>
    <w:tmpl w:val="F0E89278"/>
    <w:lvl w:ilvl="0" w:tentative="0">
      <w:start w:val="1"/>
      <w:numFmt w:val="decimal"/>
      <w:lvlText w:val="(%1)"/>
      <w:lvlJc w:val="left"/>
      <w:rPr>
        <w:rFonts w:ascii="PMingLiU" w:hAnsi="PMingLiU" w:eastAsia="PMingLiU"/>
        <w:b w:val="0"/>
        <w:bCs w:val="0"/>
        <w:i w:val="0"/>
        <w:iCs w:val="0"/>
        <w:smallCaps w:val="0"/>
        <w:strike w:val="0"/>
        <w:color w:val="000000"/>
        <w:spacing w:val="0"/>
        <w:w w:val="100"/>
        <w:position w:val="0"/>
        <w:sz w:val="22"/>
        <w:szCs w:val="22"/>
        <w:u w:val="none"/>
      </w:rPr>
    </w:lvl>
  </w:abstractNum>
  <w:abstractNum w:abstractNumId="5">
    <w:nsid w:val="F689643B"/>
    <w:multiLevelType w:val="singleLevel"/>
    <w:tmpl w:val="F689643B"/>
    <w:lvl w:ilvl="0" w:tentative="0">
      <w:start w:val="1"/>
      <w:numFmt w:val="decimal"/>
      <w:lvlText w:val="(%1)"/>
      <w:lvlJc w:val="left"/>
      <w:rPr>
        <w:rFonts w:ascii="PMingLiU" w:hAnsi="PMingLiU" w:eastAsia="PMingLiU"/>
        <w:b w:val="0"/>
        <w:bCs w:val="0"/>
        <w:i w:val="0"/>
        <w:iCs w:val="0"/>
        <w:smallCaps w:val="0"/>
        <w:strike w:val="0"/>
        <w:color w:val="000000"/>
        <w:spacing w:val="0"/>
        <w:w w:val="100"/>
        <w:position w:val="0"/>
        <w:sz w:val="22"/>
        <w:szCs w:val="22"/>
        <w:u w:val="none"/>
      </w:rPr>
    </w:lvl>
  </w:abstractNum>
  <w:abstractNum w:abstractNumId="6">
    <w:nsid w:val="03A63A41"/>
    <w:multiLevelType w:val="singleLevel"/>
    <w:tmpl w:val="03A63A41"/>
    <w:lvl w:ilvl="0" w:tentative="0">
      <w:start w:val="3"/>
      <w:numFmt w:val="decimal"/>
      <w:lvlText w:val="(%1)"/>
      <w:lvlJc w:val="left"/>
      <w:rPr>
        <w:rFonts w:ascii="PMingLiU" w:hAnsi="PMingLiU" w:eastAsia="PMingLiU"/>
        <w:b w:val="0"/>
        <w:bCs w:val="0"/>
        <w:i w:val="0"/>
        <w:iCs w:val="0"/>
        <w:smallCaps w:val="0"/>
        <w:strike w:val="0"/>
        <w:color w:val="000000"/>
        <w:spacing w:val="0"/>
        <w:w w:val="100"/>
        <w:position w:val="0"/>
        <w:sz w:val="22"/>
        <w:szCs w:val="22"/>
        <w:u w:val="none"/>
      </w:rPr>
    </w:lvl>
  </w:abstractNum>
  <w:abstractNum w:abstractNumId="7">
    <w:nsid w:val="0F9F9CCA"/>
    <w:multiLevelType w:val="singleLevel"/>
    <w:tmpl w:val="0F9F9CCA"/>
    <w:lvl w:ilvl="0" w:tentative="0">
      <w:start w:val="1"/>
      <w:numFmt w:val="decimal"/>
      <w:lvlText w:val="(%1)"/>
      <w:lvlJc w:val="left"/>
      <w:rPr>
        <w:rFonts w:ascii="PMingLiU" w:hAnsi="PMingLiU" w:eastAsia="PMingLiU"/>
        <w:b w:val="0"/>
        <w:bCs w:val="0"/>
        <w:i w:val="0"/>
        <w:iCs w:val="0"/>
        <w:smallCaps w:val="0"/>
        <w:strike w:val="0"/>
        <w:color w:val="000000"/>
        <w:spacing w:val="0"/>
        <w:w w:val="100"/>
        <w:position w:val="0"/>
        <w:sz w:val="22"/>
        <w:szCs w:val="22"/>
        <w:u w:val="none"/>
      </w:rPr>
    </w:lvl>
  </w:abstractNum>
  <w:abstractNum w:abstractNumId="8">
    <w:nsid w:val="12EADF99"/>
    <w:multiLevelType w:val="singleLevel"/>
    <w:tmpl w:val="12EADF99"/>
    <w:lvl w:ilvl="0" w:tentative="0">
      <w:start w:val="1"/>
      <w:numFmt w:val="decimal"/>
      <w:lvlText w:val="(%1)"/>
      <w:lvlJc w:val="left"/>
      <w:rPr>
        <w:rFonts w:ascii="PMingLiU" w:hAnsi="PMingLiU" w:eastAsia="PMingLiU"/>
        <w:b w:val="0"/>
        <w:bCs w:val="0"/>
        <w:i w:val="0"/>
        <w:iCs w:val="0"/>
        <w:smallCaps w:val="0"/>
        <w:strike w:val="0"/>
        <w:color w:val="000000"/>
        <w:spacing w:val="0"/>
        <w:w w:val="100"/>
        <w:position w:val="0"/>
        <w:sz w:val="22"/>
        <w:szCs w:val="22"/>
        <w:u w:val="none"/>
      </w:rPr>
    </w:lvl>
  </w:abstractNum>
  <w:abstractNum w:abstractNumId="9">
    <w:nsid w:val="18371100"/>
    <w:multiLevelType w:val="singleLevel"/>
    <w:tmpl w:val="18371100"/>
    <w:lvl w:ilvl="0" w:tentative="0">
      <w:start w:val="1"/>
      <w:numFmt w:val="decimal"/>
      <w:suff w:val="nothing"/>
      <w:lvlText w:val="（%1）"/>
      <w:lvlJc w:val="left"/>
    </w:lvl>
  </w:abstractNum>
  <w:abstractNum w:abstractNumId="10">
    <w:nsid w:val="1C257C7B"/>
    <w:multiLevelType w:val="singleLevel"/>
    <w:tmpl w:val="1C257C7B"/>
    <w:lvl w:ilvl="0" w:tentative="0">
      <w:start w:val="1"/>
      <w:numFmt w:val="decimal"/>
      <w:lvlText w:val="(%1)"/>
      <w:lvlJc w:val="left"/>
      <w:rPr>
        <w:rFonts w:ascii="PMingLiU" w:hAnsi="PMingLiU" w:eastAsia="PMingLiU"/>
        <w:b w:val="0"/>
        <w:bCs w:val="0"/>
        <w:i w:val="0"/>
        <w:iCs w:val="0"/>
        <w:smallCaps w:val="0"/>
        <w:strike w:val="0"/>
        <w:color w:val="000000"/>
        <w:spacing w:val="0"/>
        <w:w w:val="100"/>
        <w:position w:val="0"/>
        <w:sz w:val="22"/>
        <w:szCs w:val="22"/>
        <w:u w:val="none"/>
      </w:rPr>
    </w:lvl>
  </w:abstractNum>
  <w:abstractNum w:abstractNumId="11">
    <w:nsid w:val="23E97754"/>
    <w:multiLevelType w:val="singleLevel"/>
    <w:tmpl w:val="23E97754"/>
    <w:lvl w:ilvl="0" w:tentative="0">
      <w:start w:val="1"/>
      <w:numFmt w:val="decimal"/>
      <w:lvlText w:val="(%1)"/>
      <w:lvlJc w:val="left"/>
      <w:rPr>
        <w:rFonts w:ascii="PMingLiU" w:hAnsi="PMingLiU" w:eastAsia="PMingLiU"/>
        <w:b w:val="0"/>
        <w:bCs w:val="0"/>
        <w:i w:val="0"/>
        <w:iCs w:val="0"/>
        <w:smallCaps w:val="0"/>
        <w:strike w:val="0"/>
        <w:color w:val="000000"/>
        <w:spacing w:val="0"/>
        <w:w w:val="100"/>
        <w:position w:val="0"/>
        <w:sz w:val="22"/>
        <w:szCs w:val="22"/>
        <w:u w:val="none"/>
      </w:rPr>
    </w:lvl>
  </w:abstractNum>
  <w:abstractNum w:abstractNumId="12">
    <w:nsid w:val="30A0AC00"/>
    <w:multiLevelType w:val="singleLevel"/>
    <w:tmpl w:val="30A0AC00"/>
    <w:lvl w:ilvl="0" w:tentative="0">
      <w:start w:val="1"/>
      <w:numFmt w:val="decimal"/>
      <w:lvlText w:val="(%1)"/>
      <w:lvlJc w:val="left"/>
      <w:rPr>
        <w:rFonts w:ascii="PMingLiU" w:hAnsi="PMingLiU" w:eastAsia="PMingLiU"/>
        <w:b w:val="0"/>
        <w:bCs w:val="0"/>
        <w:i w:val="0"/>
        <w:iCs w:val="0"/>
        <w:smallCaps w:val="0"/>
        <w:strike w:val="0"/>
        <w:color w:val="000000"/>
        <w:spacing w:val="0"/>
        <w:w w:val="100"/>
        <w:position w:val="0"/>
        <w:sz w:val="22"/>
        <w:szCs w:val="22"/>
        <w:u w:val="none"/>
      </w:rPr>
    </w:lvl>
  </w:abstractNum>
  <w:abstractNum w:abstractNumId="13">
    <w:nsid w:val="32A7AF2D"/>
    <w:multiLevelType w:val="singleLevel"/>
    <w:tmpl w:val="32A7AF2D"/>
    <w:lvl w:ilvl="0" w:tentative="0">
      <w:start w:val="1"/>
      <w:numFmt w:val="decimal"/>
      <w:lvlText w:val="(%1)"/>
      <w:lvlJc w:val="left"/>
      <w:rPr>
        <w:rFonts w:ascii="PMingLiU" w:hAnsi="PMingLiU" w:eastAsia="PMingLiU"/>
        <w:b w:val="0"/>
        <w:bCs w:val="0"/>
        <w:i w:val="0"/>
        <w:iCs w:val="0"/>
        <w:smallCaps w:val="0"/>
        <w:strike w:val="0"/>
        <w:color w:val="000000"/>
        <w:spacing w:val="0"/>
        <w:w w:val="100"/>
        <w:position w:val="0"/>
        <w:sz w:val="22"/>
        <w:szCs w:val="22"/>
        <w:u w:val="none"/>
      </w:rPr>
    </w:lvl>
  </w:abstractNum>
  <w:abstractNum w:abstractNumId="14">
    <w:nsid w:val="35D4420E"/>
    <w:multiLevelType w:val="multilevel"/>
    <w:tmpl w:val="35D4420E"/>
    <w:lvl w:ilvl="0" w:tentative="0">
      <w:start w:val="2"/>
      <w:numFmt w:val="decimal"/>
      <w:lvlText w:val="%1．"/>
      <w:lvlJc w:val="left"/>
      <w:pPr>
        <w:ind w:left="882" w:hanging="360"/>
      </w:pPr>
      <w:rPr>
        <w:rFonts w:hint="default"/>
      </w:rPr>
    </w:lvl>
    <w:lvl w:ilvl="1" w:tentative="0">
      <w:start w:val="1"/>
      <w:numFmt w:val="lowerLetter"/>
      <w:lvlText w:val="%2)"/>
      <w:lvlJc w:val="left"/>
      <w:pPr>
        <w:ind w:left="1362" w:hanging="420"/>
      </w:pPr>
    </w:lvl>
    <w:lvl w:ilvl="2" w:tentative="0">
      <w:start w:val="1"/>
      <w:numFmt w:val="lowerRoman"/>
      <w:lvlText w:val="%3."/>
      <w:lvlJc w:val="right"/>
      <w:pPr>
        <w:ind w:left="1782" w:hanging="420"/>
      </w:pPr>
    </w:lvl>
    <w:lvl w:ilvl="3" w:tentative="0">
      <w:start w:val="1"/>
      <w:numFmt w:val="decimal"/>
      <w:lvlText w:val="%4."/>
      <w:lvlJc w:val="left"/>
      <w:pPr>
        <w:ind w:left="2202" w:hanging="420"/>
      </w:pPr>
    </w:lvl>
    <w:lvl w:ilvl="4" w:tentative="0">
      <w:start w:val="1"/>
      <w:numFmt w:val="lowerLetter"/>
      <w:lvlText w:val="%5)"/>
      <w:lvlJc w:val="left"/>
      <w:pPr>
        <w:ind w:left="2622" w:hanging="420"/>
      </w:pPr>
    </w:lvl>
    <w:lvl w:ilvl="5" w:tentative="0">
      <w:start w:val="1"/>
      <w:numFmt w:val="lowerRoman"/>
      <w:lvlText w:val="%6."/>
      <w:lvlJc w:val="right"/>
      <w:pPr>
        <w:ind w:left="3042" w:hanging="420"/>
      </w:pPr>
    </w:lvl>
    <w:lvl w:ilvl="6" w:tentative="0">
      <w:start w:val="1"/>
      <w:numFmt w:val="decimal"/>
      <w:lvlText w:val="%7."/>
      <w:lvlJc w:val="left"/>
      <w:pPr>
        <w:ind w:left="3462" w:hanging="420"/>
      </w:pPr>
    </w:lvl>
    <w:lvl w:ilvl="7" w:tentative="0">
      <w:start w:val="1"/>
      <w:numFmt w:val="lowerLetter"/>
      <w:lvlText w:val="%8)"/>
      <w:lvlJc w:val="left"/>
      <w:pPr>
        <w:ind w:left="3882" w:hanging="420"/>
      </w:pPr>
    </w:lvl>
    <w:lvl w:ilvl="8" w:tentative="0">
      <w:start w:val="1"/>
      <w:numFmt w:val="lowerRoman"/>
      <w:lvlText w:val="%9."/>
      <w:lvlJc w:val="right"/>
      <w:pPr>
        <w:ind w:left="4302" w:hanging="420"/>
      </w:pPr>
    </w:lvl>
  </w:abstractNum>
  <w:abstractNum w:abstractNumId="15">
    <w:nsid w:val="35E83B33"/>
    <w:multiLevelType w:val="singleLevel"/>
    <w:tmpl w:val="35E83B33"/>
    <w:lvl w:ilvl="0" w:tentative="0">
      <w:start w:val="1"/>
      <w:numFmt w:val="decimal"/>
      <w:lvlText w:val="(%1)"/>
      <w:lvlJc w:val="left"/>
      <w:rPr>
        <w:rFonts w:ascii="PMingLiU" w:hAnsi="PMingLiU" w:eastAsia="PMingLiU"/>
        <w:b w:val="0"/>
        <w:bCs w:val="0"/>
        <w:i w:val="0"/>
        <w:iCs w:val="0"/>
        <w:smallCaps w:val="0"/>
        <w:strike w:val="0"/>
        <w:color w:val="000000"/>
        <w:spacing w:val="0"/>
        <w:w w:val="100"/>
        <w:position w:val="0"/>
        <w:sz w:val="22"/>
        <w:szCs w:val="22"/>
        <w:u w:val="none"/>
      </w:rPr>
    </w:lvl>
  </w:abstractNum>
  <w:abstractNum w:abstractNumId="16">
    <w:nsid w:val="3B8127DF"/>
    <w:multiLevelType w:val="singleLevel"/>
    <w:tmpl w:val="3B8127DF"/>
    <w:lvl w:ilvl="0" w:tentative="0">
      <w:start w:val="1"/>
      <w:numFmt w:val="decimal"/>
      <w:lvlText w:val="(%1)"/>
      <w:lvlJc w:val="left"/>
      <w:rPr>
        <w:rFonts w:ascii="PMingLiU" w:hAnsi="PMingLiU" w:eastAsia="PMingLiU"/>
        <w:b w:val="0"/>
        <w:bCs w:val="0"/>
        <w:i w:val="0"/>
        <w:iCs w:val="0"/>
        <w:smallCaps w:val="0"/>
        <w:strike w:val="0"/>
        <w:color w:val="000000"/>
        <w:spacing w:val="0"/>
        <w:w w:val="100"/>
        <w:position w:val="0"/>
        <w:sz w:val="22"/>
        <w:szCs w:val="22"/>
        <w:u w:val="none"/>
      </w:rPr>
    </w:lvl>
  </w:abstractNum>
  <w:abstractNum w:abstractNumId="17">
    <w:nsid w:val="40B249F9"/>
    <w:multiLevelType w:val="singleLevel"/>
    <w:tmpl w:val="40B249F9"/>
    <w:lvl w:ilvl="0" w:tentative="0">
      <w:start w:val="1"/>
      <w:numFmt w:val="decimal"/>
      <w:lvlText w:val="(%1)"/>
      <w:lvlJc w:val="left"/>
      <w:rPr>
        <w:rFonts w:ascii="PMingLiU" w:hAnsi="PMingLiU" w:eastAsia="PMingLiU"/>
        <w:b w:val="0"/>
        <w:bCs w:val="0"/>
        <w:i w:val="0"/>
        <w:iCs w:val="0"/>
        <w:smallCaps w:val="0"/>
        <w:strike w:val="0"/>
        <w:color w:val="000000"/>
        <w:spacing w:val="0"/>
        <w:w w:val="100"/>
        <w:position w:val="0"/>
        <w:sz w:val="22"/>
        <w:szCs w:val="22"/>
        <w:u w:val="none"/>
      </w:rPr>
    </w:lvl>
  </w:abstractNum>
  <w:abstractNum w:abstractNumId="18">
    <w:nsid w:val="5C94629F"/>
    <w:multiLevelType w:val="multilevel"/>
    <w:tmpl w:val="5C94629F"/>
    <w:lvl w:ilvl="0" w:tentative="0">
      <w:start w:val="1"/>
      <w:numFmt w:val="decimal"/>
      <w:lvlText w:val="（%1）"/>
      <w:lvlJc w:val="left"/>
      <w:pPr>
        <w:ind w:left="480" w:hanging="720"/>
      </w:pPr>
      <w:rPr>
        <w:rFonts w:hint="default" w:ascii="宋体" w:eastAsia="宋体"/>
        <w:w w:val="100"/>
      </w:rPr>
    </w:lvl>
    <w:lvl w:ilvl="1" w:tentative="0">
      <w:start w:val="1"/>
      <w:numFmt w:val="lowerLetter"/>
      <w:lvlText w:val="%2)"/>
      <w:lvlJc w:val="left"/>
      <w:pPr>
        <w:ind w:left="1320" w:hanging="420"/>
      </w:pPr>
      <w:rPr>
        <w:rFonts w:hint="default"/>
        <w:w w:val="100"/>
      </w:rPr>
    </w:lvl>
    <w:lvl w:ilvl="2" w:tentative="0">
      <w:start w:val="1"/>
      <w:numFmt w:val="lowerRoman"/>
      <w:lvlText w:val="%3."/>
      <w:lvlJc w:val="right"/>
      <w:pPr>
        <w:ind w:left="1740" w:hanging="420"/>
      </w:pPr>
      <w:rPr>
        <w:rFonts w:hint="default"/>
        <w:w w:val="100"/>
      </w:rPr>
    </w:lvl>
    <w:lvl w:ilvl="3" w:tentative="0">
      <w:start w:val="1"/>
      <w:numFmt w:val="decimal"/>
      <w:lvlText w:val="%4."/>
      <w:lvlJc w:val="left"/>
      <w:pPr>
        <w:ind w:left="2160" w:hanging="420"/>
      </w:pPr>
      <w:rPr>
        <w:rFonts w:hint="default"/>
        <w:w w:val="100"/>
      </w:rPr>
    </w:lvl>
    <w:lvl w:ilvl="4" w:tentative="0">
      <w:start w:val="1"/>
      <w:numFmt w:val="lowerLetter"/>
      <w:lvlText w:val="%5)"/>
      <w:lvlJc w:val="left"/>
      <w:pPr>
        <w:ind w:left="2580" w:hanging="420"/>
      </w:pPr>
      <w:rPr>
        <w:rFonts w:hint="default"/>
        <w:w w:val="100"/>
      </w:rPr>
    </w:lvl>
    <w:lvl w:ilvl="5" w:tentative="0">
      <w:start w:val="1"/>
      <w:numFmt w:val="lowerRoman"/>
      <w:lvlText w:val="%6."/>
      <w:lvlJc w:val="right"/>
      <w:pPr>
        <w:ind w:left="3000" w:hanging="420"/>
      </w:pPr>
      <w:rPr>
        <w:rFonts w:hint="default"/>
        <w:w w:val="100"/>
      </w:rPr>
    </w:lvl>
    <w:lvl w:ilvl="6" w:tentative="0">
      <w:start w:val="1"/>
      <w:numFmt w:val="decimal"/>
      <w:lvlText w:val="%7."/>
      <w:lvlJc w:val="left"/>
      <w:pPr>
        <w:ind w:left="3420" w:hanging="420"/>
      </w:pPr>
      <w:rPr>
        <w:rFonts w:hint="default"/>
        <w:w w:val="100"/>
      </w:rPr>
    </w:lvl>
    <w:lvl w:ilvl="7" w:tentative="0">
      <w:start w:val="1"/>
      <w:numFmt w:val="lowerLetter"/>
      <w:lvlText w:val="%8)"/>
      <w:lvlJc w:val="left"/>
      <w:pPr>
        <w:ind w:left="3840" w:hanging="420"/>
      </w:pPr>
      <w:rPr>
        <w:rFonts w:hint="default"/>
        <w:w w:val="100"/>
      </w:rPr>
    </w:lvl>
    <w:lvl w:ilvl="8" w:tentative="0">
      <w:start w:val="1"/>
      <w:numFmt w:val="lowerRoman"/>
      <w:lvlText w:val="%9."/>
      <w:lvlJc w:val="right"/>
      <w:pPr>
        <w:ind w:left="4260" w:hanging="420"/>
      </w:pPr>
      <w:rPr>
        <w:rFonts w:hint="default"/>
        <w:w w:val="100"/>
      </w:rPr>
    </w:lvl>
  </w:abstractNum>
  <w:num w:numId="1">
    <w:abstractNumId w:val="18"/>
  </w:num>
  <w:num w:numId="2">
    <w:abstractNumId w:val="3"/>
  </w:num>
  <w:num w:numId="3">
    <w:abstractNumId w:val="13"/>
  </w:num>
  <w:num w:numId="4">
    <w:abstractNumId w:val="10"/>
  </w:num>
  <w:num w:numId="5">
    <w:abstractNumId w:val="4"/>
  </w:num>
  <w:num w:numId="6">
    <w:abstractNumId w:val="11"/>
  </w:num>
  <w:num w:numId="7">
    <w:abstractNumId w:val="1"/>
  </w:num>
  <w:num w:numId="8">
    <w:abstractNumId w:val="17"/>
  </w:num>
  <w:num w:numId="9">
    <w:abstractNumId w:val="7"/>
  </w:num>
  <w:num w:numId="10">
    <w:abstractNumId w:val="15"/>
  </w:num>
  <w:num w:numId="11">
    <w:abstractNumId w:val="6"/>
  </w:num>
  <w:num w:numId="12">
    <w:abstractNumId w:val="2"/>
  </w:num>
  <w:num w:numId="13">
    <w:abstractNumId w:val="8"/>
  </w:num>
  <w:num w:numId="14">
    <w:abstractNumId w:val="16"/>
  </w:num>
  <w:num w:numId="15">
    <w:abstractNumId w:val="0"/>
  </w:num>
  <w:num w:numId="16">
    <w:abstractNumId w:val="5"/>
  </w:num>
  <w:num w:numId="17">
    <w:abstractNumId w:val="12"/>
  </w:num>
  <w:num w:numId="18">
    <w:abstractNumId w:val="9"/>
  </w:num>
  <w:num w:numId="19">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hideSpellingErrors/>
  <w:documentProtection w:enforcement="0"/>
  <w:defaultTabStop w:val="420"/>
  <w:doNotHyphenateCaps/>
  <w:drawingGridHorizontalSpacing w:val="2"/>
  <w:drawingGridVerticalSpacing w:val="2"/>
  <w:noPunctuationKerning w:val="1"/>
  <w:characterSpacingControl w:val="compressPunctuation"/>
  <w:noLineBreaksAfter w:lang="zh-CN" w:val="$([{£¥·‘“〈《「『【〔〖〝﹙﹛﹝＄（．［｛￡￥"/>
  <w:noLineBreaksBefore w:lang="zh-CN" w:val="!%),.:;&gt;?]}¢¨°·ˇˉ―‖’”…‰′″›℃∶、。〃〉》」』】〕〗〞︶︺︾﹀﹄﹚﹜﹞！＂％＇），．：；？］｀｜｝～￠"/>
  <w:doNotValidateAgainstSchema/>
  <w:doNotDemarcateInvalidXml/>
  <w:hdrShapeDefaults>
    <o:shapelayout v:ext="edit">
      <o:idmap v:ext="edit" data="1,3"/>
      <o:rules v:ext="edit">
        <o:r id="V:Rule1" type="connector" idref="#自选图形 1175"/>
        <o:r id="V:Rule2" type="connector" idref="#自选图形 1169"/>
        <o:r id="V:Rule3" type="connector" idref="#自选图形 1163"/>
      </o:rules>
    </o:shapelayout>
  </w:hdrShapeDefaults>
  <w:footnotePr>
    <w:numFmt w:val="decimalEnclosedCircle"/>
    <w:numRestart w:val="eachPage"/>
  </w:footnotePr>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OWQ1ZGJkZjM0ZDVjOGYzZjhlMmUxZWQ1Nzg0OTIwMjcifQ=="/>
  </w:docVars>
  <w:rsids>
    <w:rsidRoot w:val="00172A27"/>
    <w:rsid w:val="000004D6"/>
    <w:rsid w:val="00000648"/>
    <w:rsid w:val="00001DCC"/>
    <w:rsid w:val="00001F67"/>
    <w:rsid w:val="0000234D"/>
    <w:rsid w:val="00002E12"/>
    <w:rsid w:val="00003619"/>
    <w:rsid w:val="000036B4"/>
    <w:rsid w:val="00003EDA"/>
    <w:rsid w:val="00004C9E"/>
    <w:rsid w:val="00005096"/>
    <w:rsid w:val="00006183"/>
    <w:rsid w:val="00006D74"/>
    <w:rsid w:val="00007C9C"/>
    <w:rsid w:val="000105EB"/>
    <w:rsid w:val="0001198C"/>
    <w:rsid w:val="000131D4"/>
    <w:rsid w:val="000137CE"/>
    <w:rsid w:val="00014C74"/>
    <w:rsid w:val="000158C2"/>
    <w:rsid w:val="00017CC3"/>
    <w:rsid w:val="00021F9F"/>
    <w:rsid w:val="000220C8"/>
    <w:rsid w:val="000221CF"/>
    <w:rsid w:val="00024416"/>
    <w:rsid w:val="00024B22"/>
    <w:rsid w:val="00026B82"/>
    <w:rsid w:val="0002730D"/>
    <w:rsid w:val="00027432"/>
    <w:rsid w:val="00030852"/>
    <w:rsid w:val="00030ADC"/>
    <w:rsid w:val="00030E13"/>
    <w:rsid w:val="00030F01"/>
    <w:rsid w:val="00031116"/>
    <w:rsid w:val="00031357"/>
    <w:rsid w:val="00031C7D"/>
    <w:rsid w:val="000322F5"/>
    <w:rsid w:val="00033626"/>
    <w:rsid w:val="00033732"/>
    <w:rsid w:val="00033DEC"/>
    <w:rsid w:val="0003458A"/>
    <w:rsid w:val="000346BF"/>
    <w:rsid w:val="00035D66"/>
    <w:rsid w:val="00040B2E"/>
    <w:rsid w:val="00040F2D"/>
    <w:rsid w:val="00041E8F"/>
    <w:rsid w:val="00041FBA"/>
    <w:rsid w:val="000434C0"/>
    <w:rsid w:val="000436D3"/>
    <w:rsid w:val="00044A8C"/>
    <w:rsid w:val="00044F02"/>
    <w:rsid w:val="00045252"/>
    <w:rsid w:val="000458E3"/>
    <w:rsid w:val="00046892"/>
    <w:rsid w:val="00047632"/>
    <w:rsid w:val="00047FD5"/>
    <w:rsid w:val="000519B8"/>
    <w:rsid w:val="00053F82"/>
    <w:rsid w:val="00055312"/>
    <w:rsid w:val="00055840"/>
    <w:rsid w:val="00056285"/>
    <w:rsid w:val="00056571"/>
    <w:rsid w:val="00057394"/>
    <w:rsid w:val="000609AF"/>
    <w:rsid w:val="00060B94"/>
    <w:rsid w:val="00061A62"/>
    <w:rsid w:val="000624E2"/>
    <w:rsid w:val="00064AB1"/>
    <w:rsid w:val="00065648"/>
    <w:rsid w:val="0006653A"/>
    <w:rsid w:val="000667E0"/>
    <w:rsid w:val="0006758A"/>
    <w:rsid w:val="00067814"/>
    <w:rsid w:val="00067EE4"/>
    <w:rsid w:val="00070647"/>
    <w:rsid w:val="00070683"/>
    <w:rsid w:val="000715AA"/>
    <w:rsid w:val="000721B0"/>
    <w:rsid w:val="000722A1"/>
    <w:rsid w:val="000723F2"/>
    <w:rsid w:val="00072D2A"/>
    <w:rsid w:val="00073807"/>
    <w:rsid w:val="00074046"/>
    <w:rsid w:val="0007423D"/>
    <w:rsid w:val="00074363"/>
    <w:rsid w:val="00074995"/>
    <w:rsid w:val="00074A3F"/>
    <w:rsid w:val="00074C61"/>
    <w:rsid w:val="00075196"/>
    <w:rsid w:val="00075507"/>
    <w:rsid w:val="00076A93"/>
    <w:rsid w:val="00077085"/>
    <w:rsid w:val="00077982"/>
    <w:rsid w:val="00077D06"/>
    <w:rsid w:val="00081159"/>
    <w:rsid w:val="000837AE"/>
    <w:rsid w:val="000903A1"/>
    <w:rsid w:val="000904D4"/>
    <w:rsid w:val="00090899"/>
    <w:rsid w:val="000908F1"/>
    <w:rsid w:val="0009097A"/>
    <w:rsid w:val="00090B8A"/>
    <w:rsid w:val="00090DD4"/>
    <w:rsid w:val="000912C9"/>
    <w:rsid w:val="00091786"/>
    <w:rsid w:val="00092D80"/>
    <w:rsid w:val="00093FB2"/>
    <w:rsid w:val="0009412E"/>
    <w:rsid w:val="00095F12"/>
    <w:rsid w:val="000966CA"/>
    <w:rsid w:val="00096A17"/>
    <w:rsid w:val="000A13F9"/>
    <w:rsid w:val="000A379A"/>
    <w:rsid w:val="000A4C1E"/>
    <w:rsid w:val="000A62EA"/>
    <w:rsid w:val="000A63F1"/>
    <w:rsid w:val="000A6E29"/>
    <w:rsid w:val="000A6EE8"/>
    <w:rsid w:val="000A7441"/>
    <w:rsid w:val="000A771D"/>
    <w:rsid w:val="000A7990"/>
    <w:rsid w:val="000B0550"/>
    <w:rsid w:val="000B1922"/>
    <w:rsid w:val="000B2196"/>
    <w:rsid w:val="000B2E96"/>
    <w:rsid w:val="000B3123"/>
    <w:rsid w:val="000B341B"/>
    <w:rsid w:val="000B3463"/>
    <w:rsid w:val="000B39C8"/>
    <w:rsid w:val="000B4062"/>
    <w:rsid w:val="000B4A78"/>
    <w:rsid w:val="000B517D"/>
    <w:rsid w:val="000B5A5A"/>
    <w:rsid w:val="000B7F62"/>
    <w:rsid w:val="000C05BB"/>
    <w:rsid w:val="000C07F9"/>
    <w:rsid w:val="000C1289"/>
    <w:rsid w:val="000C1F68"/>
    <w:rsid w:val="000C2281"/>
    <w:rsid w:val="000C244D"/>
    <w:rsid w:val="000C27E3"/>
    <w:rsid w:val="000C2F71"/>
    <w:rsid w:val="000C4B76"/>
    <w:rsid w:val="000C509D"/>
    <w:rsid w:val="000C5994"/>
    <w:rsid w:val="000C5CA9"/>
    <w:rsid w:val="000C5F15"/>
    <w:rsid w:val="000C6DAF"/>
    <w:rsid w:val="000C6F8C"/>
    <w:rsid w:val="000C740E"/>
    <w:rsid w:val="000D064D"/>
    <w:rsid w:val="000D1FB8"/>
    <w:rsid w:val="000D22C0"/>
    <w:rsid w:val="000D4B2B"/>
    <w:rsid w:val="000D55C4"/>
    <w:rsid w:val="000D623F"/>
    <w:rsid w:val="000D677A"/>
    <w:rsid w:val="000D79F6"/>
    <w:rsid w:val="000D7C8F"/>
    <w:rsid w:val="000E01EC"/>
    <w:rsid w:val="000E18B5"/>
    <w:rsid w:val="000E1BBA"/>
    <w:rsid w:val="000E2B39"/>
    <w:rsid w:val="000E30EC"/>
    <w:rsid w:val="000E3415"/>
    <w:rsid w:val="000E3435"/>
    <w:rsid w:val="000E3D5D"/>
    <w:rsid w:val="000E4F16"/>
    <w:rsid w:val="000E667C"/>
    <w:rsid w:val="000F09A5"/>
    <w:rsid w:val="000F1829"/>
    <w:rsid w:val="000F20AB"/>
    <w:rsid w:val="000F32F4"/>
    <w:rsid w:val="000F395E"/>
    <w:rsid w:val="000F3A9E"/>
    <w:rsid w:val="000F5209"/>
    <w:rsid w:val="000F5E2B"/>
    <w:rsid w:val="000F61A6"/>
    <w:rsid w:val="000F6B35"/>
    <w:rsid w:val="000F72C3"/>
    <w:rsid w:val="000F765F"/>
    <w:rsid w:val="0010041E"/>
    <w:rsid w:val="00100476"/>
    <w:rsid w:val="001008BD"/>
    <w:rsid w:val="00100B80"/>
    <w:rsid w:val="00100CC2"/>
    <w:rsid w:val="0010185A"/>
    <w:rsid w:val="00102268"/>
    <w:rsid w:val="001022F8"/>
    <w:rsid w:val="00103155"/>
    <w:rsid w:val="0010586A"/>
    <w:rsid w:val="00105DED"/>
    <w:rsid w:val="001070B1"/>
    <w:rsid w:val="00110FD2"/>
    <w:rsid w:val="0011195C"/>
    <w:rsid w:val="001136C7"/>
    <w:rsid w:val="00113A45"/>
    <w:rsid w:val="001144BD"/>
    <w:rsid w:val="001144E9"/>
    <w:rsid w:val="00114CFE"/>
    <w:rsid w:val="00114D40"/>
    <w:rsid w:val="00114D60"/>
    <w:rsid w:val="00115417"/>
    <w:rsid w:val="00116187"/>
    <w:rsid w:val="001164D9"/>
    <w:rsid w:val="00116AA7"/>
    <w:rsid w:val="00116BE5"/>
    <w:rsid w:val="00117238"/>
    <w:rsid w:val="0011766F"/>
    <w:rsid w:val="001176D7"/>
    <w:rsid w:val="001202A7"/>
    <w:rsid w:val="00120388"/>
    <w:rsid w:val="001210B1"/>
    <w:rsid w:val="0012198E"/>
    <w:rsid w:val="001219A1"/>
    <w:rsid w:val="00121A05"/>
    <w:rsid w:val="00121E9D"/>
    <w:rsid w:val="00121EBC"/>
    <w:rsid w:val="00121F8D"/>
    <w:rsid w:val="0012425C"/>
    <w:rsid w:val="00124649"/>
    <w:rsid w:val="0012492B"/>
    <w:rsid w:val="00124EAC"/>
    <w:rsid w:val="00125086"/>
    <w:rsid w:val="001252EC"/>
    <w:rsid w:val="001254FB"/>
    <w:rsid w:val="00125FE8"/>
    <w:rsid w:val="00125FFC"/>
    <w:rsid w:val="001262C2"/>
    <w:rsid w:val="00127CAC"/>
    <w:rsid w:val="00127F94"/>
    <w:rsid w:val="00130C7A"/>
    <w:rsid w:val="00132835"/>
    <w:rsid w:val="00132B1D"/>
    <w:rsid w:val="001345D7"/>
    <w:rsid w:val="00134654"/>
    <w:rsid w:val="0013466F"/>
    <w:rsid w:val="00134E1B"/>
    <w:rsid w:val="001351F7"/>
    <w:rsid w:val="001354A4"/>
    <w:rsid w:val="001358AE"/>
    <w:rsid w:val="00136088"/>
    <w:rsid w:val="00136A88"/>
    <w:rsid w:val="0013702B"/>
    <w:rsid w:val="00137B40"/>
    <w:rsid w:val="00140727"/>
    <w:rsid w:val="00140A0C"/>
    <w:rsid w:val="00141CB2"/>
    <w:rsid w:val="00141E08"/>
    <w:rsid w:val="001428AD"/>
    <w:rsid w:val="001434F6"/>
    <w:rsid w:val="001442A6"/>
    <w:rsid w:val="00144A2A"/>
    <w:rsid w:val="001459A0"/>
    <w:rsid w:val="00146AEF"/>
    <w:rsid w:val="00146C65"/>
    <w:rsid w:val="00146E97"/>
    <w:rsid w:val="001476BD"/>
    <w:rsid w:val="0015016A"/>
    <w:rsid w:val="001505E8"/>
    <w:rsid w:val="001508AB"/>
    <w:rsid w:val="001508F7"/>
    <w:rsid w:val="001509E2"/>
    <w:rsid w:val="00150BA9"/>
    <w:rsid w:val="00150FA0"/>
    <w:rsid w:val="00151C3C"/>
    <w:rsid w:val="0015491D"/>
    <w:rsid w:val="00157183"/>
    <w:rsid w:val="001622B6"/>
    <w:rsid w:val="00163301"/>
    <w:rsid w:val="00164BF3"/>
    <w:rsid w:val="00164C0B"/>
    <w:rsid w:val="00165385"/>
    <w:rsid w:val="00165E1F"/>
    <w:rsid w:val="001724B7"/>
    <w:rsid w:val="00172A27"/>
    <w:rsid w:val="00172DF0"/>
    <w:rsid w:val="00173459"/>
    <w:rsid w:val="00173A3B"/>
    <w:rsid w:val="00174881"/>
    <w:rsid w:val="001772B5"/>
    <w:rsid w:val="00177E69"/>
    <w:rsid w:val="00182B63"/>
    <w:rsid w:val="001832D9"/>
    <w:rsid w:val="00183A20"/>
    <w:rsid w:val="00183AE9"/>
    <w:rsid w:val="00184520"/>
    <w:rsid w:val="00185331"/>
    <w:rsid w:val="0018581E"/>
    <w:rsid w:val="0018596C"/>
    <w:rsid w:val="001864FD"/>
    <w:rsid w:val="00186B26"/>
    <w:rsid w:val="00186E8D"/>
    <w:rsid w:val="00187B1C"/>
    <w:rsid w:val="00187E43"/>
    <w:rsid w:val="00190B89"/>
    <w:rsid w:val="0019127D"/>
    <w:rsid w:val="001929EE"/>
    <w:rsid w:val="00192DDA"/>
    <w:rsid w:val="00192E90"/>
    <w:rsid w:val="001950B5"/>
    <w:rsid w:val="00195118"/>
    <w:rsid w:val="0019613F"/>
    <w:rsid w:val="001963ED"/>
    <w:rsid w:val="00196EFA"/>
    <w:rsid w:val="00197C72"/>
    <w:rsid w:val="00197CA9"/>
    <w:rsid w:val="00197DBF"/>
    <w:rsid w:val="001A0E76"/>
    <w:rsid w:val="001A1901"/>
    <w:rsid w:val="001A19AA"/>
    <w:rsid w:val="001A1AFC"/>
    <w:rsid w:val="001A3DA3"/>
    <w:rsid w:val="001A428C"/>
    <w:rsid w:val="001A623C"/>
    <w:rsid w:val="001A62C4"/>
    <w:rsid w:val="001A6340"/>
    <w:rsid w:val="001A7078"/>
    <w:rsid w:val="001A7538"/>
    <w:rsid w:val="001A7540"/>
    <w:rsid w:val="001A7D65"/>
    <w:rsid w:val="001B0227"/>
    <w:rsid w:val="001B04F8"/>
    <w:rsid w:val="001B31CD"/>
    <w:rsid w:val="001B4914"/>
    <w:rsid w:val="001B5AD3"/>
    <w:rsid w:val="001B7596"/>
    <w:rsid w:val="001C0933"/>
    <w:rsid w:val="001C0C8B"/>
    <w:rsid w:val="001C221A"/>
    <w:rsid w:val="001C2EEB"/>
    <w:rsid w:val="001C3677"/>
    <w:rsid w:val="001C4E64"/>
    <w:rsid w:val="001C67CA"/>
    <w:rsid w:val="001C6AB0"/>
    <w:rsid w:val="001C7A07"/>
    <w:rsid w:val="001D0A71"/>
    <w:rsid w:val="001D1608"/>
    <w:rsid w:val="001D1E42"/>
    <w:rsid w:val="001D2423"/>
    <w:rsid w:val="001D2700"/>
    <w:rsid w:val="001D2891"/>
    <w:rsid w:val="001D317C"/>
    <w:rsid w:val="001D3A7F"/>
    <w:rsid w:val="001D3CD0"/>
    <w:rsid w:val="001D546B"/>
    <w:rsid w:val="001D68F5"/>
    <w:rsid w:val="001D734E"/>
    <w:rsid w:val="001D7B27"/>
    <w:rsid w:val="001D7B46"/>
    <w:rsid w:val="001D7D64"/>
    <w:rsid w:val="001E0232"/>
    <w:rsid w:val="001E153A"/>
    <w:rsid w:val="001E2E55"/>
    <w:rsid w:val="001E2FE4"/>
    <w:rsid w:val="001E39CA"/>
    <w:rsid w:val="001E43A9"/>
    <w:rsid w:val="001E4D6E"/>
    <w:rsid w:val="001E4EF1"/>
    <w:rsid w:val="001F0549"/>
    <w:rsid w:val="001F13DC"/>
    <w:rsid w:val="001F1444"/>
    <w:rsid w:val="001F1475"/>
    <w:rsid w:val="001F1670"/>
    <w:rsid w:val="001F18C7"/>
    <w:rsid w:val="001F1CED"/>
    <w:rsid w:val="001F25C1"/>
    <w:rsid w:val="001F2D65"/>
    <w:rsid w:val="001F546E"/>
    <w:rsid w:val="001F7661"/>
    <w:rsid w:val="001F7BE6"/>
    <w:rsid w:val="001F7D40"/>
    <w:rsid w:val="002015D8"/>
    <w:rsid w:val="0020183D"/>
    <w:rsid w:val="00201AF0"/>
    <w:rsid w:val="00201E87"/>
    <w:rsid w:val="002021A6"/>
    <w:rsid w:val="002024F9"/>
    <w:rsid w:val="0020382D"/>
    <w:rsid w:val="002038FE"/>
    <w:rsid w:val="00203A10"/>
    <w:rsid w:val="00203C77"/>
    <w:rsid w:val="00205432"/>
    <w:rsid w:val="00205B25"/>
    <w:rsid w:val="00206233"/>
    <w:rsid w:val="00207AA0"/>
    <w:rsid w:val="0021017B"/>
    <w:rsid w:val="0021299D"/>
    <w:rsid w:val="00212B13"/>
    <w:rsid w:val="00212D08"/>
    <w:rsid w:val="00212F0F"/>
    <w:rsid w:val="00213C3F"/>
    <w:rsid w:val="00216E35"/>
    <w:rsid w:val="00217793"/>
    <w:rsid w:val="002201A9"/>
    <w:rsid w:val="00221927"/>
    <w:rsid w:val="00221FAF"/>
    <w:rsid w:val="00222C32"/>
    <w:rsid w:val="00222CBB"/>
    <w:rsid w:val="00225782"/>
    <w:rsid w:val="00225884"/>
    <w:rsid w:val="00225DD3"/>
    <w:rsid w:val="00227FAC"/>
    <w:rsid w:val="00230690"/>
    <w:rsid w:val="00232245"/>
    <w:rsid w:val="00232725"/>
    <w:rsid w:val="00232C94"/>
    <w:rsid w:val="0023495A"/>
    <w:rsid w:val="00234FD8"/>
    <w:rsid w:val="0023514E"/>
    <w:rsid w:val="00235B33"/>
    <w:rsid w:val="0023616A"/>
    <w:rsid w:val="002361E7"/>
    <w:rsid w:val="00236970"/>
    <w:rsid w:val="00237D8F"/>
    <w:rsid w:val="00240DF6"/>
    <w:rsid w:val="00242B3C"/>
    <w:rsid w:val="002431A7"/>
    <w:rsid w:val="00244A49"/>
    <w:rsid w:val="00244CA2"/>
    <w:rsid w:val="00246884"/>
    <w:rsid w:val="00246C0E"/>
    <w:rsid w:val="002470F0"/>
    <w:rsid w:val="0025064C"/>
    <w:rsid w:val="0025188E"/>
    <w:rsid w:val="00251B0D"/>
    <w:rsid w:val="00251F29"/>
    <w:rsid w:val="00252BD5"/>
    <w:rsid w:val="00252E07"/>
    <w:rsid w:val="00252F37"/>
    <w:rsid w:val="00253084"/>
    <w:rsid w:val="002537D9"/>
    <w:rsid w:val="002542E1"/>
    <w:rsid w:val="00254FAD"/>
    <w:rsid w:val="00257839"/>
    <w:rsid w:val="00260964"/>
    <w:rsid w:val="00260A39"/>
    <w:rsid w:val="00260C51"/>
    <w:rsid w:val="002616DE"/>
    <w:rsid w:val="00261BA6"/>
    <w:rsid w:val="0026246E"/>
    <w:rsid w:val="00262A0C"/>
    <w:rsid w:val="00262BE2"/>
    <w:rsid w:val="002633D5"/>
    <w:rsid w:val="00264734"/>
    <w:rsid w:val="00264B79"/>
    <w:rsid w:val="00265ABE"/>
    <w:rsid w:val="002664E5"/>
    <w:rsid w:val="00266797"/>
    <w:rsid w:val="0026742A"/>
    <w:rsid w:val="00267F3A"/>
    <w:rsid w:val="002705D9"/>
    <w:rsid w:val="00270D3F"/>
    <w:rsid w:val="0027102B"/>
    <w:rsid w:val="002713BA"/>
    <w:rsid w:val="002728AB"/>
    <w:rsid w:val="00276FAB"/>
    <w:rsid w:val="002773FA"/>
    <w:rsid w:val="002775FF"/>
    <w:rsid w:val="0027760C"/>
    <w:rsid w:val="00280966"/>
    <w:rsid w:val="00280DF1"/>
    <w:rsid w:val="00281A48"/>
    <w:rsid w:val="00281C02"/>
    <w:rsid w:val="002829E8"/>
    <w:rsid w:val="00283CCD"/>
    <w:rsid w:val="00284467"/>
    <w:rsid w:val="0028556A"/>
    <w:rsid w:val="0028603D"/>
    <w:rsid w:val="00286AB5"/>
    <w:rsid w:val="00286E66"/>
    <w:rsid w:val="00287B3E"/>
    <w:rsid w:val="00287D81"/>
    <w:rsid w:val="0029113D"/>
    <w:rsid w:val="002915A7"/>
    <w:rsid w:val="002916C0"/>
    <w:rsid w:val="00291943"/>
    <w:rsid w:val="002933DB"/>
    <w:rsid w:val="00294D62"/>
    <w:rsid w:val="00294F89"/>
    <w:rsid w:val="00297A56"/>
    <w:rsid w:val="002A0A3F"/>
    <w:rsid w:val="002A1050"/>
    <w:rsid w:val="002A14AF"/>
    <w:rsid w:val="002A15ED"/>
    <w:rsid w:val="002A2055"/>
    <w:rsid w:val="002A4339"/>
    <w:rsid w:val="002A4E42"/>
    <w:rsid w:val="002A658E"/>
    <w:rsid w:val="002A677E"/>
    <w:rsid w:val="002A6A82"/>
    <w:rsid w:val="002A7A60"/>
    <w:rsid w:val="002A7AC1"/>
    <w:rsid w:val="002B0D67"/>
    <w:rsid w:val="002B178D"/>
    <w:rsid w:val="002B1924"/>
    <w:rsid w:val="002B35D5"/>
    <w:rsid w:val="002B4039"/>
    <w:rsid w:val="002B632A"/>
    <w:rsid w:val="002B7206"/>
    <w:rsid w:val="002B7966"/>
    <w:rsid w:val="002C1AFD"/>
    <w:rsid w:val="002C1ED4"/>
    <w:rsid w:val="002C280A"/>
    <w:rsid w:val="002C4091"/>
    <w:rsid w:val="002C494B"/>
    <w:rsid w:val="002C4FC2"/>
    <w:rsid w:val="002C5480"/>
    <w:rsid w:val="002C60DB"/>
    <w:rsid w:val="002C6792"/>
    <w:rsid w:val="002C7E0A"/>
    <w:rsid w:val="002D1888"/>
    <w:rsid w:val="002D198E"/>
    <w:rsid w:val="002D337E"/>
    <w:rsid w:val="002D5866"/>
    <w:rsid w:val="002D5BE5"/>
    <w:rsid w:val="002D6BED"/>
    <w:rsid w:val="002D729D"/>
    <w:rsid w:val="002E078C"/>
    <w:rsid w:val="002E0B25"/>
    <w:rsid w:val="002E0F25"/>
    <w:rsid w:val="002E15E5"/>
    <w:rsid w:val="002E2DE8"/>
    <w:rsid w:val="002E3C2C"/>
    <w:rsid w:val="002E5A60"/>
    <w:rsid w:val="002F0185"/>
    <w:rsid w:val="002F033C"/>
    <w:rsid w:val="002F0D52"/>
    <w:rsid w:val="002F0EC0"/>
    <w:rsid w:val="002F0F9D"/>
    <w:rsid w:val="002F1199"/>
    <w:rsid w:val="002F1969"/>
    <w:rsid w:val="002F2258"/>
    <w:rsid w:val="002F227F"/>
    <w:rsid w:val="002F362F"/>
    <w:rsid w:val="002F384E"/>
    <w:rsid w:val="002F4D98"/>
    <w:rsid w:val="002F6077"/>
    <w:rsid w:val="002F701B"/>
    <w:rsid w:val="002F78F7"/>
    <w:rsid w:val="00300A77"/>
    <w:rsid w:val="00300AD2"/>
    <w:rsid w:val="00302356"/>
    <w:rsid w:val="00303A84"/>
    <w:rsid w:val="00303B98"/>
    <w:rsid w:val="00303F3B"/>
    <w:rsid w:val="00305E17"/>
    <w:rsid w:val="00305ED5"/>
    <w:rsid w:val="0030678D"/>
    <w:rsid w:val="003071AE"/>
    <w:rsid w:val="003073AA"/>
    <w:rsid w:val="00312F9C"/>
    <w:rsid w:val="003146B2"/>
    <w:rsid w:val="00315B5A"/>
    <w:rsid w:val="00315DD3"/>
    <w:rsid w:val="00316788"/>
    <w:rsid w:val="00317EF0"/>
    <w:rsid w:val="00320770"/>
    <w:rsid w:val="00321199"/>
    <w:rsid w:val="0032281B"/>
    <w:rsid w:val="00322A24"/>
    <w:rsid w:val="003235DA"/>
    <w:rsid w:val="00323641"/>
    <w:rsid w:val="00323DBB"/>
    <w:rsid w:val="00324F34"/>
    <w:rsid w:val="003251D7"/>
    <w:rsid w:val="00326D57"/>
    <w:rsid w:val="0032758E"/>
    <w:rsid w:val="00330B01"/>
    <w:rsid w:val="00330D22"/>
    <w:rsid w:val="00331AEE"/>
    <w:rsid w:val="00333223"/>
    <w:rsid w:val="003339F4"/>
    <w:rsid w:val="00334177"/>
    <w:rsid w:val="00334279"/>
    <w:rsid w:val="003347BA"/>
    <w:rsid w:val="003349DE"/>
    <w:rsid w:val="00335305"/>
    <w:rsid w:val="00335345"/>
    <w:rsid w:val="00337E45"/>
    <w:rsid w:val="00340822"/>
    <w:rsid w:val="003426B8"/>
    <w:rsid w:val="00343B40"/>
    <w:rsid w:val="0034443F"/>
    <w:rsid w:val="00344762"/>
    <w:rsid w:val="00344ACA"/>
    <w:rsid w:val="003474D9"/>
    <w:rsid w:val="003515DB"/>
    <w:rsid w:val="00353C77"/>
    <w:rsid w:val="00355B07"/>
    <w:rsid w:val="003562EE"/>
    <w:rsid w:val="003577CA"/>
    <w:rsid w:val="00357AEE"/>
    <w:rsid w:val="003605C2"/>
    <w:rsid w:val="003608B4"/>
    <w:rsid w:val="00360EA9"/>
    <w:rsid w:val="003610AB"/>
    <w:rsid w:val="00361460"/>
    <w:rsid w:val="0036158E"/>
    <w:rsid w:val="003616FA"/>
    <w:rsid w:val="0036218B"/>
    <w:rsid w:val="003627ED"/>
    <w:rsid w:val="00362831"/>
    <w:rsid w:val="003630CA"/>
    <w:rsid w:val="00363182"/>
    <w:rsid w:val="00363F9C"/>
    <w:rsid w:val="00363FAD"/>
    <w:rsid w:val="003640ED"/>
    <w:rsid w:val="00364847"/>
    <w:rsid w:val="00364AC6"/>
    <w:rsid w:val="00364D06"/>
    <w:rsid w:val="00365904"/>
    <w:rsid w:val="00365A02"/>
    <w:rsid w:val="00366537"/>
    <w:rsid w:val="0036658B"/>
    <w:rsid w:val="00366F9B"/>
    <w:rsid w:val="00367B71"/>
    <w:rsid w:val="00370A0C"/>
    <w:rsid w:val="0037145E"/>
    <w:rsid w:val="00371B3E"/>
    <w:rsid w:val="0037261F"/>
    <w:rsid w:val="00372C85"/>
    <w:rsid w:val="00372FBA"/>
    <w:rsid w:val="00373E70"/>
    <w:rsid w:val="003743E8"/>
    <w:rsid w:val="0037638A"/>
    <w:rsid w:val="0037655B"/>
    <w:rsid w:val="00381427"/>
    <w:rsid w:val="00383983"/>
    <w:rsid w:val="0038545B"/>
    <w:rsid w:val="00386567"/>
    <w:rsid w:val="00386D55"/>
    <w:rsid w:val="00387E27"/>
    <w:rsid w:val="00390E52"/>
    <w:rsid w:val="003914FB"/>
    <w:rsid w:val="003921F4"/>
    <w:rsid w:val="00392988"/>
    <w:rsid w:val="00392D4F"/>
    <w:rsid w:val="00393880"/>
    <w:rsid w:val="003939D4"/>
    <w:rsid w:val="00393C53"/>
    <w:rsid w:val="003951E3"/>
    <w:rsid w:val="003961F9"/>
    <w:rsid w:val="003973A8"/>
    <w:rsid w:val="003A016F"/>
    <w:rsid w:val="003A17B2"/>
    <w:rsid w:val="003A18D6"/>
    <w:rsid w:val="003A282C"/>
    <w:rsid w:val="003A3EBB"/>
    <w:rsid w:val="003A3F20"/>
    <w:rsid w:val="003A46F4"/>
    <w:rsid w:val="003A478D"/>
    <w:rsid w:val="003A5226"/>
    <w:rsid w:val="003A59D2"/>
    <w:rsid w:val="003A5FC3"/>
    <w:rsid w:val="003A600F"/>
    <w:rsid w:val="003A6FF2"/>
    <w:rsid w:val="003A7C23"/>
    <w:rsid w:val="003B0294"/>
    <w:rsid w:val="003B0BBD"/>
    <w:rsid w:val="003B11B1"/>
    <w:rsid w:val="003B43DE"/>
    <w:rsid w:val="003B46C8"/>
    <w:rsid w:val="003B4B08"/>
    <w:rsid w:val="003B71EE"/>
    <w:rsid w:val="003B71F7"/>
    <w:rsid w:val="003B7EED"/>
    <w:rsid w:val="003C048F"/>
    <w:rsid w:val="003C084C"/>
    <w:rsid w:val="003C189D"/>
    <w:rsid w:val="003C1A9A"/>
    <w:rsid w:val="003C1E35"/>
    <w:rsid w:val="003C2326"/>
    <w:rsid w:val="003C3532"/>
    <w:rsid w:val="003C5A86"/>
    <w:rsid w:val="003C5C33"/>
    <w:rsid w:val="003C6000"/>
    <w:rsid w:val="003C6EA4"/>
    <w:rsid w:val="003C70CF"/>
    <w:rsid w:val="003C717D"/>
    <w:rsid w:val="003C75F8"/>
    <w:rsid w:val="003C7DDA"/>
    <w:rsid w:val="003C7E13"/>
    <w:rsid w:val="003D0268"/>
    <w:rsid w:val="003D227F"/>
    <w:rsid w:val="003D2605"/>
    <w:rsid w:val="003D48E0"/>
    <w:rsid w:val="003D57D1"/>
    <w:rsid w:val="003D6753"/>
    <w:rsid w:val="003D6E0B"/>
    <w:rsid w:val="003D7183"/>
    <w:rsid w:val="003E2189"/>
    <w:rsid w:val="003E6142"/>
    <w:rsid w:val="003E7237"/>
    <w:rsid w:val="003F062F"/>
    <w:rsid w:val="003F1A2B"/>
    <w:rsid w:val="003F2D46"/>
    <w:rsid w:val="003F34A7"/>
    <w:rsid w:val="003F355D"/>
    <w:rsid w:val="003F47C7"/>
    <w:rsid w:val="003F4C06"/>
    <w:rsid w:val="003F5629"/>
    <w:rsid w:val="003F68B3"/>
    <w:rsid w:val="00402DEB"/>
    <w:rsid w:val="00405D3F"/>
    <w:rsid w:val="0040621A"/>
    <w:rsid w:val="0040702A"/>
    <w:rsid w:val="004107D4"/>
    <w:rsid w:val="00410E57"/>
    <w:rsid w:val="00410FA3"/>
    <w:rsid w:val="00411769"/>
    <w:rsid w:val="00412D51"/>
    <w:rsid w:val="00412F06"/>
    <w:rsid w:val="00412F3D"/>
    <w:rsid w:val="0041309D"/>
    <w:rsid w:val="00414416"/>
    <w:rsid w:val="00415BB5"/>
    <w:rsid w:val="0041752E"/>
    <w:rsid w:val="00417574"/>
    <w:rsid w:val="00417CDC"/>
    <w:rsid w:val="00417DBB"/>
    <w:rsid w:val="00420849"/>
    <w:rsid w:val="00420C8C"/>
    <w:rsid w:val="0042102E"/>
    <w:rsid w:val="00421B32"/>
    <w:rsid w:val="00422754"/>
    <w:rsid w:val="00426313"/>
    <w:rsid w:val="004267F2"/>
    <w:rsid w:val="00427502"/>
    <w:rsid w:val="00430B3C"/>
    <w:rsid w:val="00431155"/>
    <w:rsid w:val="0043115F"/>
    <w:rsid w:val="00431684"/>
    <w:rsid w:val="004316D4"/>
    <w:rsid w:val="00432F40"/>
    <w:rsid w:val="004336A9"/>
    <w:rsid w:val="00433CBD"/>
    <w:rsid w:val="00433E9C"/>
    <w:rsid w:val="004343F0"/>
    <w:rsid w:val="00434B66"/>
    <w:rsid w:val="00434CE8"/>
    <w:rsid w:val="0043500A"/>
    <w:rsid w:val="00436351"/>
    <w:rsid w:val="004364B9"/>
    <w:rsid w:val="00436741"/>
    <w:rsid w:val="00437993"/>
    <w:rsid w:val="00437DA5"/>
    <w:rsid w:val="004400E9"/>
    <w:rsid w:val="00441144"/>
    <w:rsid w:val="00442182"/>
    <w:rsid w:val="00442A3D"/>
    <w:rsid w:val="00442C0F"/>
    <w:rsid w:val="00442F91"/>
    <w:rsid w:val="004435D3"/>
    <w:rsid w:val="004451CD"/>
    <w:rsid w:val="00446111"/>
    <w:rsid w:val="00446619"/>
    <w:rsid w:val="0044677F"/>
    <w:rsid w:val="00447130"/>
    <w:rsid w:val="004472B7"/>
    <w:rsid w:val="004472F5"/>
    <w:rsid w:val="0044774C"/>
    <w:rsid w:val="0045427B"/>
    <w:rsid w:val="0045457D"/>
    <w:rsid w:val="0045495F"/>
    <w:rsid w:val="00454C66"/>
    <w:rsid w:val="00454F86"/>
    <w:rsid w:val="0045541F"/>
    <w:rsid w:val="004569F5"/>
    <w:rsid w:val="00456AD7"/>
    <w:rsid w:val="00456B20"/>
    <w:rsid w:val="00457405"/>
    <w:rsid w:val="00457D6D"/>
    <w:rsid w:val="00457DA7"/>
    <w:rsid w:val="00460D45"/>
    <w:rsid w:val="004623F5"/>
    <w:rsid w:val="004627DC"/>
    <w:rsid w:val="004635C1"/>
    <w:rsid w:val="00463944"/>
    <w:rsid w:val="00463C37"/>
    <w:rsid w:val="00463E83"/>
    <w:rsid w:val="00464E7B"/>
    <w:rsid w:val="00464E7F"/>
    <w:rsid w:val="004652B0"/>
    <w:rsid w:val="004652B9"/>
    <w:rsid w:val="004654E0"/>
    <w:rsid w:val="004666D4"/>
    <w:rsid w:val="00466753"/>
    <w:rsid w:val="004669C2"/>
    <w:rsid w:val="004672FB"/>
    <w:rsid w:val="00467A1E"/>
    <w:rsid w:val="00472521"/>
    <w:rsid w:val="00476E0B"/>
    <w:rsid w:val="00476F0D"/>
    <w:rsid w:val="00477A20"/>
    <w:rsid w:val="0048091B"/>
    <w:rsid w:val="004815CE"/>
    <w:rsid w:val="004822E7"/>
    <w:rsid w:val="00482E17"/>
    <w:rsid w:val="0048304F"/>
    <w:rsid w:val="00483092"/>
    <w:rsid w:val="00484023"/>
    <w:rsid w:val="00484B35"/>
    <w:rsid w:val="00484B9D"/>
    <w:rsid w:val="00486E75"/>
    <w:rsid w:val="00487C3D"/>
    <w:rsid w:val="00487CDC"/>
    <w:rsid w:val="004914F0"/>
    <w:rsid w:val="0049158B"/>
    <w:rsid w:val="00491617"/>
    <w:rsid w:val="00491A9C"/>
    <w:rsid w:val="00491D1A"/>
    <w:rsid w:val="004924F7"/>
    <w:rsid w:val="00492D33"/>
    <w:rsid w:val="004937BD"/>
    <w:rsid w:val="00493C69"/>
    <w:rsid w:val="0049416D"/>
    <w:rsid w:val="00495B60"/>
    <w:rsid w:val="00495EDD"/>
    <w:rsid w:val="0049653B"/>
    <w:rsid w:val="004976F0"/>
    <w:rsid w:val="00497C71"/>
    <w:rsid w:val="004A1E0D"/>
    <w:rsid w:val="004A2707"/>
    <w:rsid w:val="004A2CE4"/>
    <w:rsid w:val="004A31EC"/>
    <w:rsid w:val="004A37EA"/>
    <w:rsid w:val="004A412B"/>
    <w:rsid w:val="004A567C"/>
    <w:rsid w:val="004A6AE0"/>
    <w:rsid w:val="004A7F23"/>
    <w:rsid w:val="004B147E"/>
    <w:rsid w:val="004B2898"/>
    <w:rsid w:val="004B38D3"/>
    <w:rsid w:val="004B48B8"/>
    <w:rsid w:val="004B4A62"/>
    <w:rsid w:val="004B5A4A"/>
    <w:rsid w:val="004B5FEE"/>
    <w:rsid w:val="004B6D6B"/>
    <w:rsid w:val="004B6F6C"/>
    <w:rsid w:val="004B7176"/>
    <w:rsid w:val="004C26C6"/>
    <w:rsid w:val="004C2A39"/>
    <w:rsid w:val="004C2D78"/>
    <w:rsid w:val="004C34C1"/>
    <w:rsid w:val="004C3710"/>
    <w:rsid w:val="004C594E"/>
    <w:rsid w:val="004C5D01"/>
    <w:rsid w:val="004C6DE9"/>
    <w:rsid w:val="004C6E76"/>
    <w:rsid w:val="004C7919"/>
    <w:rsid w:val="004D00D3"/>
    <w:rsid w:val="004D0FBC"/>
    <w:rsid w:val="004D18DF"/>
    <w:rsid w:val="004D1C05"/>
    <w:rsid w:val="004D2519"/>
    <w:rsid w:val="004D257C"/>
    <w:rsid w:val="004D312B"/>
    <w:rsid w:val="004D42FD"/>
    <w:rsid w:val="004D4C3E"/>
    <w:rsid w:val="004D6EAE"/>
    <w:rsid w:val="004D6FCB"/>
    <w:rsid w:val="004D7EB7"/>
    <w:rsid w:val="004E154C"/>
    <w:rsid w:val="004E1637"/>
    <w:rsid w:val="004E1D20"/>
    <w:rsid w:val="004E3558"/>
    <w:rsid w:val="004E357A"/>
    <w:rsid w:val="004E4440"/>
    <w:rsid w:val="004E47CC"/>
    <w:rsid w:val="004E4E97"/>
    <w:rsid w:val="004E5785"/>
    <w:rsid w:val="004E5D80"/>
    <w:rsid w:val="004E60A0"/>
    <w:rsid w:val="004F09E2"/>
    <w:rsid w:val="004F12BD"/>
    <w:rsid w:val="004F16E4"/>
    <w:rsid w:val="004F302A"/>
    <w:rsid w:val="004F3275"/>
    <w:rsid w:val="004F55A3"/>
    <w:rsid w:val="004F61C4"/>
    <w:rsid w:val="004F61D4"/>
    <w:rsid w:val="004F756C"/>
    <w:rsid w:val="004F7F8B"/>
    <w:rsid w:val="005001DB"/>
    <w:rsid w:val="0050095D"/>
    <w:rsid w:val="00501BD3"/>
    <w:rsid w:val="00501F19"/>
    <w:rsid w:val="005029A0"/>
    <w:rsid w:val="00502C63"/>
    <w:rsid w:val="00502F73"/>
    <w:rsid w:val="00503224"/>
    <w:rsid w:val="00503B09"/>
    <w:rsid w:val="00504FC4"/>
    <w:rsid w:val="005055CD"/>
    <w:rsid w:val="00505D33"/>
    <w:rsid w:val="005061B0"/>
    <w:rsid w:val="00506351"/>
    <w:rsid w:val="00507C17"/>
    <w:rsid w:val="005110C6"/>
    <w:rsid w:val="005115CE"/>
    <w:rsid w:val="00511A02"/>
    <w:rsid w:val="00511E03"/>
    <w:rsid w:val="00511EC9"/>
    <w:rsid w:val="0051466D"/>
    <w:rsid w:val="00515FEA"/>
    <w:rsid w:val="00516338"/>
    <w:rsid w:val="00517CF3"/>
    <w:rsid w:val="005202A4"/>
    <w:rsid w:val="00520375"/>
    <w:rsid w:val="00522931"/>
    <w:rsid w:val="00524F30"/>
    <w:rsid w:val="00527006"/>
    <w:rsid w:val="00527B3F"/>
    <w:rsid w:val="005305A2"/>
    <w:rsid w:val="005317D8"/>
    <w:rsid w:val="00531A46"/>
    <w:rsid w:val="00534B0A"/>
    <w:rsid w:val="0053575B"/>
    <w:rsid w:val="005377A4"/>
    <w:rsid w:val="00541D00"/>
    <w:rsid w:val="005425C0"/>
    <w:rsid w:val="00542F26"/>
    <w:rsid w:val="00542F7B"/>
    <w:rsid w:val="00543281"/>
    <w:rsid w:val="00543403"/>
    <w:rsid w:val="005455F5"/>
    <w:rsid w:val="00545E9C"/>
    <w:rsid w:val="005468AB"/>
    <w:rsid w:val="0055158F"/>
    <w:rsid w:val="005532F8"/>
    <w:rsid w:val="005533AB"/>
    <w:rsid w:val="00553415"/>
    <w:rsid w:val="00554539"/>
    <w:rsid w:val="005550CB"/>
    <w:rsid w:val="00556AAE"/>
    <w:rsid w:val="00556C08"/>
    <w:rsid w:val="00556C0B"/>
    <w:rsid w:val="00557990"/>
    <w:rsid w:val="005605C9"/>
    <w:rsid w:val="0056179F"/>
    <w:rsid w:val="005618C7"/>
    <w:rsid w:val="005621A8"/>
    <w:rsid w:val="00562469"/>
    <w:rsid w:val="00562C3A"/>
    <w:rsid w:val="00562C98"/>
    <w:rsid w:val="005630D2"/>
    <w:rsid w:val="00563288"/>
    <w:rsid w:val="00564D75"/>
    <w:rsid w:val="00565D21"/>
    <w:rsid w:val="00565E21"/>
    <w:rsid w:val="0056631A"/>
    <w:rsid w:val="00566AEE"/>
    <w:rsid w:val="00566C83"/>
    <w:rsid w:val="00566D0D"/>
    <w:rsid w:val="00567B24"/>
    <w:rsid w:val="00571B6A"/>
    <w:rsid w:val="005727D7"/>
    <w:rsid w:val="005738A7"/>
    <w:rsid w:val="00573A15"/>
    <w:rsid w:val="00575333"/>
    <w:rsid w:val="00575D82"/>
    <w:rsid w:val="005762D7"/>
    <w:rsid w:val="00577E06"/>
    <w:rsid w:val="00580D4F"/>
    <w:rsid w:val="0058235C"/>
    <w:rsid w:val="0058280C"/>
    <w:rsid w:val="00583E73"/>
    <w:rsid w:val="00583F8C"/>
    <w:rsid w:val="00585C7D"/>
    <w:rsid w:val="00590F93"/>
    <w:rsid w:val="005916B0"/>
    <w:rsid w:val="00592B1E"/>
    <w:rsid w:val="00592E1E"/>
    <w:rsid w:val="00593288"/>
    <w:rsid w:val="00593606"/>
    <w:rsid w:val="005943C1"/>
    <w:rsid w:val="005944AD"/>
    <w:rsid w:val="005946F0"/>
    <w:rsid w:val="00594811"/>
    <w:rsid w:val="00594CE5"/>
    <w:rsid w:val="005954B3"/>
    <w:rsid w:val="00597055"/>
    <w:rsid w:val="005976A6"/>
    <w:rsid w:val="005A0A20"/>
    <w:rsid w:val="005A32A6"/>
    <w:rsid w:val="005A3438"/>
    <w:rsid w:val="005A5D5D"/>
    <w:rsid w:val="005A5EEA"/>
    <w:rsid w:val="005A5F71"/>
    <w:rsid w:val="005A6F3D"/>
    <w:rsid w:val="005A7240"/>
    <w:rsid w:val="005A78EF"/>
    <w:rsid w:val="005B0695"/>
    <w:rsid w:val="005B06F4"/>
    <w:rsid w:val="005B1032"/>
    <w:rsid w:val="005B1BCD"/>
    <w:rsid w:val="005B20D3"/>
    <w:rsid w:val="005B2CB5"/>
    <w:rsid w:val="005B513C"/>
    <w:rsid w:val="005B5881"/>
    <w:rsid w:val="005B7D00"/>
    <w:rsid w:val="005C135D"/>
    <w:rsid w:val="005C250C"/>
    <w:rsid w:val="005C2A41"/>
    <w:rsid w:val="005C336F"/>
    <w:rsid w:val="005C3D73"/>
    <w:rsid w:val="005C45DB"/>
    <w:rsid w:val="005C4646"/>
    <w:rsid w:val="005C56A3"/>
    <w:rsid w:val="005C56BE"/>
    <w:rsid w:val="005C62B8"/>
    <w:rsid w:val="005C7572"/>
    <w:rsid w:val="005C7F8C"/>
    <w:rsid w:val="005D0E73"/>
    <w:rsid w:val="005D2D80"/>
    <w:rsid w:val="005D34AD"/>
    <w:rsid w:val="005D470F"/>
    <w:rsid w:val="005D628F"/>
    <w:rsid w:val="005D6363"/>
    <w:rsid w:val="005D7274"/>
    <w:rsid w:val="005D75FA"/>
    <w:rsid w:val="005E1610"/>
    <w:rsid w:val="005E1948"/>
    <w:rsid w:val="005E1DB2"/>
    <w:rsid w:val="005E2106"/>
    <w:rsid w:val="005E25F3"/>
    <w:rsid w:val="005E28CD"/>
    <w:rsid w:val="005E2C8B"/>
    <w:rsid w:val="005E3879"/>
    <w:rsid w:val="005E38E9"/>
    <w:rsid w:val="005E3BC9"/>
    <w:rsid w:val="005E3F40"/>
    <w:rsid w:val="005E405A"/>
    <w:rsid w:val="005E4515"/>
    <w:rsid w:val="005E75FF"/>
    <w:rsid w:val="005F077D"/>
    <w:rsid w:val="005F101D"/>
    <w:rsid w:val="005F11F2"/>
    <w:rsid w:val="005F4BB9"/>
    <w:rsid w:val="005F4F9E"/>
    <w:rsid w:val="005F78F3"/>
    <w:rsid w:val="005F79E2"/>
    <w:rsid w:val="005F7DD2"/>
    <w:rsid w:val="006004D4"/>
    <w:rsid w:val="00600DC4"/>
    <w:rsid w:val="00601594"/>
    <w:rsid w:val="006018AA"/>
    <w:rsid w:val="0060219C"/>
    <w:rsid w:val="00602647"/>
    <w:rsid w:val="0060352C"/>
    <w:rsid w:val="00612096"/>
    <w:rsid w:val="00613203"/>
    <w:rsid w:val="00613975"/>
    <w:rsid w:val="00613DF2"/>
    <w:rsid w:val="006143A6"/>
    <w:rsid w:val="00614F03"/>
    <w:rsid w:val="00615A04"/>
    <w:rsid w:val="00615AB7"/>
    <w:rsid w:val="00615DD4"/>
    <w:rsid w:val="00616474"/>
    <w:rsid w:val="006166AA"/>
    <w:rsid w:val="006166F1"/>
    <w:rsid w:val="00616AF3"/>
    <w:rsid w:val="00617C8E"/>
    <w:rsid w:val="00617EC0"/>
    <w:rsid w:val="00620E9C"/>
    <w:rsid w:val="00622271"/>
    <w:rsid w:val="00622D7C"/>
    <w:rsid w:val="0062385D"/>
    <w:rsid w:val="00623896"/>
    <w:rsid w:val="00623FBB"/>
    <w:rsid w:val="0062517F"/>
    <w:rsid w:val="0062573D"/>
    <w:rsid w:val="006273DD"/>
    <w:rsid w:val="00627874"/>
    <w:rsid w:val="00630AC7"/>
    <w:rsid w:val="006310BC"/>
    <w:rsid w:val="006310F2"/>
    <w:rsid w:val="00631190"/>
    <w:rsid w:val="006313E1"/>
    <w:rsid w:val="0063153D"/>
    <w:rsid w:val="00632074"/>
    <w:rsid w:val="00632339"/>
    <w:rsid w:val="0063233C"/>
    <w:rsid w:val="006330AA"/>
    <w:rsid w:val="00634124"/>
    <w:rsid w:val="006361F5"/>
    <w:rsid w:val="00636E39"/>
    <w:rsid w:val="00640B20"/>
    <w:rsid w:val="00642000"/>
    <w:rsid w:val="00642BE6"/>
    <w:rsid w:val="00642FB3"/>
    <w:rsid w:val="00643138"/>
    <w:rsid w:val="006451B2"/>
    <w:rsid w:val="00645818"/>
    <w:rsid w:val="006463F7"/>
    <w:rsid w:val="00646FF8"/>
    <w:rsid w:val="006525CC"/>
    <w:rsid w:val="0065577C"/>
    <w:rsid w:val="00656E9D"/>
    <w:rsid w:val="0065753C"/>
    <w:rsid w:val="00657A8A"/>
    <w:rsid w:val="00661E4D"/>
    <w:rsid w:val="00662391"/>
    <w:rsid w:val="006639C0"/>
    <w:rsid w:val="00663D19"/>
    <w:rsid w:val="00664632"/>
    <w:rsid w:val="00666A98"/>
    <w:rsid w:val="00666DCE"/>
    <w:rsid w:val="0066700C"/>
    <w:rsid w:val="006677C6"/>
    <w:rsid w:val="00670750"/>
    <w:rsid w:val="006709FD"/>
    <w:rsid w:val="00670DBE"/>
    <w:rsid w:val="0067204A"/>
    <w:rsid w:val="00672364"/>
    <w:rsid w:val="0067302F"/>
    <w:rsid w:val="00673831"/>
    <w:rsid w:val="00673C03"/>
    <w:rsid w:val="00673E45"/>
    <w:rsid w:val="00675BB0"/>
    <w:rsid w:val="006760B1"/>
    <w:rsid w:val="00676540"/>
    <w:rsid w:val="00677875"/>
    <w:rsid w:val="00677FF6"/>
    <w:rsid w:val="0068037B"/>
    <w:rsid w:val="00681D6E"/>
    <w:rsid w:val="00681D92"/>
    <w:rsid w:val="006828DB"/>
    <w:rsid w:val="00683001"/>
    <w:rsid w:val="00686432"/>
    <w:rsid w:val="006917C1"/>
    <w:rsid w:val="00696A31"/>
    <w:rsid w:val="00696E0D"/>
    <w:rsid w:val="00697EF0"/>
    <w:rsid w:val="006A03A6"/>
    <w:rsid w:val="006A3E0C"/>
    <w:rsid w:val="006A5273"/>
    <w:rsid w:val="006A5DD8"/>
    <w:rsid w:val="006A5FA5"/>
    <w:rsid w:val="006A665D"/>
    <w:rsid w:val="006A68F8"/>
    <w:rsid w:val="006A6A19"/>
    <w:rsid w:val="006A6DCA"/>
    <w:rsid w:val="006B1939"/>
    <w:rsid w:val="006B3CF1"/>
    <w:rsid w:val="006B4115"/>
    <w:rsid w:val="006B55BC"/>
    <w:rsid w:val="006B5CDB"/>
    <w:rsid w:val="006B5D85"/>
    <w:rsid w:val="006B66B2"/>
    <w:rsid w:val="006B7255"/>
    <w:rsid w:val="006B7546"/>
    <w:rsid w:val="006C1FD2"/>
    <w:rsid w:val="006C252E"/>
    <w:rsid w:val="006C3967"/>
    <w:rsid w:val="006C5019"/>
    <w:rsid w:val="006C63B0"/>
    <w:rsid w:val="006C643A"/>
    <w:rsid w:val="006C68D3"/>
    <w:rsid w:val="006C6C21"/>
    <w:rsid w:val="006C7836"/>
    <w:rsid w:val="006D06A1"/>
    <w:rsid w:val="006D093E"/>
    <w:rsid w:val="006D25FF"/>
    <w:rsid w:val="006D4E31"/>
    <w:rsid w:val="006D611F"/>
    <w:rsid w:val="006D6536"/>
    <w:rsid w:val="006D6DFD"/>
    <w:rsid w:val="006D7148"/>
    <w:rsid w:val="006E1D33"/>
    <w:rsid w:val="006E3DC8"/>
    <w:rsid w:val="006E42F4"/>
    <w:rsid w:val="006E44A9"/>
    <w:rsid w:val="006E50B9"/>
    <w:rsid w:val="006E57EC"/>
    <w:rsid w:val="006E5806"/>
    <w:rsid w:val="006E6086"/>
    <w:rsid w:val="006E64ED"/>
    <w:rsid w:val="006E69AB"/>
    <w:rsid w:val="006E7024"/>
    <w:rsid w:val="006E7B4F"/>
    <w:rsid w:val="006E7FA0"/>
    <w:rsid w:val="006F08DB"/>
    <w:rsid w:val="006F091E"/>
    <w:rsid w:val="006F30D7"/>
    <w:rsid w:val="006F33CA"/>
    <w:rsid w:val="006F46DB"/>
    <w:rsid w:val="006F4E70"/>
    <w:rsid w:val="006F6631"/>
    <w:rsid w:val="007008AF"/>
    <w:rsid w:val="007011CA"/>
    <w:rsid w:val="00701631"/>
    <w:rsid w:val="00703658"/>
    <w:rsid w:val="00704072"/>
    <w:rsid w:val="0070468F"/>
    <w:rsid w:val="00704BA4"/>
    <w:rsid w:val="00704E1A"/>
    <w:rsid w:val="00705666"/>
    <w:rsid w:val="00710329"/>
    <w:rsid w:val="007105C2"/>
    <w:rsid w:val="00710B75"/>
    <w:rsid w:val="007110C4"/>
    <w:rsid w:val="007111A5"/>
    <w:rsid w:val="00713E1C"/>
    <w:rsid w:val="00714E4E"/>
    <w:rsid w:val="00715C5A"/>
    <w:rsid w:val="00716465"/>
    <w:rsid w:val="007201E0"/>
    <w:rsid w:val="00721B0C"/>
    <w:rsid w:val="00723F41"/>
    <w:rsid w:val="00724226"/>
    <w:rsid w:val="00724928"/>
    <w:rsid w:val="00726EB9"/>
    <w:rsid w:val="00727413"/>
    <w:rsid w:val="00731563"/>
    <w:rsid w:val="00732413"/>
    <w:rsid w:val="00732BD4"/>
    <w:rsid w:val="00735285"/>
    <w:rsid w:val="0073578E"/>
    <w:rsid w:val="007360CC"/>
    <w:rsid w:val="0073628A"/>
    <w:rsid w:val="00736B3D"/>
    <w:rsid w:val="00737FE9"/>
    <w:rsid w:val="00740863"/>
    <w:rsid w:val="00741683"/>
    <w:rsid w:val="00741925"/>
    <w:rsid w:val="00743CFC"/>
    <w:rsid w:val="0074498B"/>
    <w:rsid w:val="00745956"/>
    <w:rsid w:val="007460EF"/>
    <w:rsid w:val="00746372"/>
    <w:rsid w:val="00750351"/>
    <w:rsid w:val="00750F14"/>
    <w:rsid w:val="00751461"/>
    <w:rsid w:val="00753A73"/>
    <w:rsid w:val="00754B4B"/>
    <w:rsid w:val="0075523F"/>
    <w:rsid w:val="00761F70"/>
    <w:rsid w:val="007626D8"/>
    <w:rsid w:val="0076380B"/>
    <w:rsid w:val="00764EA1"/>
    <w:rsid w:val="00765147"/>
    <w:rsid w:val="00766028"/>
    <w:rsid w:val="00766274"/>
    <w:rsid w:val="00766342"/>
    <w:rsid w:val="0076649E"/>
    <w:rsid w:val="00770072"/>
    <w:rsid w:val="007705D0"/>
    <w:rsid w:val="0077064D"/>
    <w:rsid w:val="00770830"/>
    <w:rsid w:val="00771A5D"/>
    <w:rsid w:val="00771D37"/>
    <w:rsid w:val="007736E2"/>
    <w:rsid w:val="00775395"/>
    <w:rsid w:val="00776785"/>
    <w:rsid w:val="007774E2"/>
    <w:rsid w:val="007803CC"/>
    <w:rsid w:val="00781144"/>
    <w:rsid w:val="00781886"/>
    <w:rsid w:val="00783ECB"/>
    <w:rsid w:val="00785411"/>
    <w:rsid w:val="00785682"/>
    <w:rsid w:val="00786B54"/>
    <w:rsid w:val="007906A8"/>
    <w:rsid w:val="007908D3"/>
    <w:rsid w:val="007926EB"/>
    <w:rsid w:val="00795926"/>
    <w:rsid w:val="00796636"/>
    <w:rsid w:val="00797873"/>
    <w:rsid w:val="00797E7A"/>
    <w:rsid w:val="007A009C"/>
    <w:rsid w:val="007A0A50"/>
    <w:rsid w:val="007A31F0"/>
    <w:rsid w:val="007A565D"/>
    <w:rsid w:val="007A698B"/>
    <w:rsid w:val="007A7161"/>
    <w:rsid w:val="007B14D0"/>
    <w:rsid w:val="007B2787"/>
    <w:rsid w:val="007B2B8A"/>
    <w:rsid w:val="007B2FE9"/>
    <w:rsid w:val="007B3440"/>
    <w:rsid w:val="007B5CFB"/>
    <w:rsid w:val="007B71DC"/>
    <w:rsid w:val="007B7DAD"/>
    <w:rsid w:val="007C1347"/>
    <w:rsid w:val="007C20BC"/>
    <w:rsid w:val="007C36A9"/>
    <w:rsid w:val="007C3CB6"/>
    <w:rsid w:val="007C3E22"/>
    <w:rsid w:val="007C4559"/>
    <w:rsid w:val="007C5276"/>
    <w:rsid w:val="007C5640"/>
    <w:rsid w:val="007C5678"/>
    <w:rsid w:val="007C5B55"/>
    <w:rsid w:val="007C6126"/>
    <w:rsid w:val="007C6D84"/>
    <w:rsid w:val="007C7D37"/>
    <w:rsid w:val="007C7F55"/>
    <w:rsid w:val="007D0A4B"/>
    <w:rsid w:val="007D118A"/>
    <w:rsid w:val="007D129F"/>
    <w:rsid w:val="007D13AB"/>
    <w:rsid w:val="007D2D56"/>
    <w:rsid w:val="007D4735"/>
    <w:rsid w:val="007D5E32"/>
    <w:rsid w:val="007D6DBE"/>
    <w:rsid w:val="007D71BA"/>
    <w:rsid w:val="007D71E1"/>
    <w:rsid w:val="007E0B32"/>
    <w:rsid w:val="007E0CF3"/>
    <w:rsid w:val="007E3E8A"/>
    <w:rsid w:val="007E56C4"/>
    <w:rsid w:val="007E5A16"/>
    <w:rsid w:val="007E64B5"/>
    <w:rsid w:val="007E6A1D"/>
    <w:rsid w:val="007E6BEB"/>
    <w:rsid w:val="007E70AA"/>
    <w:rsid w:val="007E738A"/>
    <w:rsid w:val="007F1563"/>
    <w:rsid w:val="007F33E0"/>
    <w:rsid w:val="007F40D8"/>
    <w:rsid w:val="007F4E2F"/>
    <w:rsid w:val="007F4E3D"/>
    <w:rsid w:val="007F4FD4"/>
    <w:rsid w:val="007F64C5"/>
    <w:rsid w:val="007F6D31"/>
    <w:rsid w:val="007F792B"/>
    <w:rsid w:val="00801062"/>
    <w:rsid w:val="00803285"/>
    <w:rsid w:val="008033BD"/>
    <w:rsid w:val="00805677"/>
    <w:rsid w:val="0080659E"/>
    <w:rsid w:val="00807AAB"/>
    <w:rsid w:val="00810F6C"/>
    <w:rsid w:val="0081109B"/>
    <w:rsid w:val="008114D2"/>
    <w:rsid w:val="00811682"/>
    <w:rsid w:val="00812CA9"/>
    <w:rsid w:val="00813358"/>
    <w:rsid w:val="00815658"/>
    <w:rsid w:val="00816457"/>
    <w:rsid w:val="00817985"/>
    <w:rsid w:val="00817F2B"/>
    <w:rsid w:val="00820DC6"/>
    <w:rsid w:val="008218A6"/>
    <w:rsid w:val="008218F8"/>
    <w:rsid w:val="008219AA"/>
    <w:rsid w:val="00822C11"/>
    <w:rsid w:val="008238E8"/>
    <w:rsid w:val="00825326"/>
    <w:rsid w:val="00825B16"/>
    <w:rsid w:val="00827EDD"/>
    <w:rsid w:val="00831062"/>
    <w:rsid w:val="00832DDA"/>
    <w:rsid w:val="0083338E"/>
    <w:rsid w:val="00834969"/>
    <w:rsid w:val="00836BBC"/>
    <w:rsid w:val="00837AF0"/>
    <w:rsid w:val="008408E9"/>
    <w:rsid w:val="00841585"/>
    <w:rsid w:val="00842B19"/>
    <w:rsid w:val="0084349F"/>
    <w:rsid w:val="008435EF"/>
    <w:rsid w:val="00843F07"/>
    <w:rsid w:val="00847896"/>
    <w:rsid w:val="00850148"/>
    <w:rsid w:val="00850955"/>
    <w:rsid w:val="00851166"/>
    <w:rsid w:val="008511D8"/>
    <w:rsid w:val="008512B7"/>
    <w:rsid w:val="0085298E"/>
    <w:rsid w:val="00852B7D"/>
    <w:rsid w:val="0085448D"/>
    <w:rsid w:val="00854DE0"/>
    <w:rsid w:val="008551CC"/>
    <w:rsid w:val="00855341"/>
    <w:rsid w:val="00855901"/>
    <w:rsid w:val="0085755A"/>
    <w:rsid w:val="00857E2A"/>
    <w:rsid w:val="0086001D"/>
    <w:rsid w:val="008602E8"/>
    <w:rsid w:val="00860C6F"/>
    <w:rsid w:val="00863D2A"/>
    <w:rsid w:val="00866062"/>
    <w:rsid w:val="0087123F"/>
    <w:rsid w:val="00872DDD"/>
    <w:rsid w:val="008731A5"/>
    <w:rsid w:val="00873341"/>
    <w:rsid w:val="008736FA"/>
    <w:rsid w:val="0087404C"/>
    <w:rsid w:val="00874854"/>
    <w:rsid w:val="00875D23"/>
    <w:rsid w:val="00880029"/>
    <w:rsid w:val="0088034D"/>
    <w:rsid w:val="008804C3"/>
    <w:rsid w:val="00881B0A"/>
    <w:rsid w:val="00882332"/>
    <w:rsid w:val="0088270E"/>
    <w:rsid w:val="00883709"/>
    <w:rsid w:val="00883935"/>
    <w:rsid w:val="008847C6"/>
    <w:rsid w:val="008854B4"/>
    <w:rsid w:val="00885A09"/>
    <w:rsid w:val="00886D21"/>
    <w:rsid w:val="00887968"/>
    <w:rsid w:val="00891A3D"/>
    <w:rsid w:val="0089262C"/>
    <w:rsid w:val="008934BD"/>
    <w:rsid w:val="00893DB5"/>
    <w:rsid w:val="00894409"/>
    <w:rsid w:val="00894CB4"/>
    <w:rsid w:val="00895310"/>
    <w:rsid w:val="00896238"/>
    <w:rsid w:val="008963C3"/>
    <w:rsid w:val="008970D5"/>
    <w:rsid w:val="008A1CAD"/>
    <w:rsid w:val="008A2FCB"/>
    <w:rsid w:val="008A39B8"/>
    <w:rsid w:val="008A4B1D"/>
    <w:rsid w:val="008A4D9D"/>
    <w:rsid w:val="008A50FB"/>
    <w:rsid w:val="008A5B91"/>
    <w:rsid w:val="008A6689"/>
    <w:rsid w:val="008A76A5"/>
    <w:rsid w:val="008A7D9B"/>
    <w:rsid w:val="008B1037"/>
    <w:rsid w:val="008B1522"/>
    <w:rsid w:val="008B33FA"/>
    <w:rsid w:val="008B3DA3"/>
    <w:rsid w:val="008B4146"/>
    <w:rsid w:val="008B665D"/>
    <w:rsid w:val="008B7BF9"/>
    <w:rsid w:val="008B7EAE"/>
    <w:rsid w:val="008C0B19"/>
    <w:rsid w:val="008C1603"/>
    <w:rsid w:val="008C26A0"/>
    <w:rsid w:val="008C26EF"/>
    <w:rsid w:val="008C597A"/>
    <w:rsid w:val="008C72DF"/>
    <w:rsid w:val="008C7440"/>
    <w:rsid w:val="008C7A6B"/>
    <w:rsid w:val="008D01FD"/>
    <w:rsid w:val="008D0A03"/>
    <w:rsid w:val="008D0B83"/>
    <w:rsid w:val="008D24E5"/>
    <w:rsid w:val="008D3A31"/>
    <w:rsid w:val="008D5E71"/>
    <w:rsid w:val="008D6462"/>
    <w:rsid w:val="008D70D3"/>
    <w:rsid w:val="008D74DB"/>
    <w:rsid w:val="008D7EFF"/>
    <w:rsid w:val="008E0872"/>
    <w:rsid w:val="008E09C5"/>
    <w:rsid w:val="008E0A8D"/>
    <w:rsid w:val="008E1CD7"/>
    <w:rsid w:val="008E2248"/>
    <w:rsid w:val="008E2626"/>
    <w:rsid w:val="008E3E6F"/>
    <w:rsid w:val="008E41F9"/>
    <w:rsid w:val="008E4666"/>
    <w:rsid w:val="008E4D25"/>
    <w:rsid w:val="008E5615"/>
    <w:rsid w:val="008E6767"/>
    <w:rsid w:val="008E6C1E"/>
    <w:rsid w:val="008E71C0"/>
    <w:rsid w:val="008E756F"/>
    <w:rsid w:val="008F0AE8"/>
    <w:rsid w:val="008F18BB"/>
    <w:rsid w:val="008F2709"/>
    <w:rsid w:val="008F2DD9"/>
    <w:rsid w:val="008F338C"/>
    <w:rsid w:val="008F4C02"/>
    <w:rsid w:val="008F5660"/>
    <w:rsid w:val="008F574F"/>
    <w:rsid w:val="008F61A8"/>
    <w:rsid w:val="008F7000"/>
    <w:rsid w:val="008F7085"/>
    <w:rsid w:val="008F71CC"/>
    <w:rsid w:val="008F74CC"/>
    <w:rsid w:val="009012EE"/>
    <w:rsid w:val="009029C0"/>
    <w:rsid w:val="00902B5C"/>
    <w:rsid w:val="00902E1C"/>
    <w:rsid w:val="00904981"/>
    <w:rsid w:val="0090554A"/>
    <w:rsid w:val="009057E2"/>
    <w:rsid w:val="009104F4"/>
    <w:rsid w:val="00910EC0"/>
    <w:rsid w:val="009112BF"/>
    <w:rsid w:val="009121FA"/>
    <w:rsid w:val="009134B9"/>
    <w:rsid w:val="00913C90"/>
    <w:rsid w:val="00913E28"/>
    <w:rsid w:val="00913E84"/>
    <w:rsid w:val="009145B3"/>
    <w:rsid w:val="00915A3F"/>
    <w:rsid w:val="009164DF"/>
    <w:rsid w:val="00916726"/>
    <w:rsid w:val="00916A84"/>
    <w:rsid w:val="00920695"/>
    <w:rsid w:val="0092138B"/>
    <w:rsid w:val="0092141B"/>
    <w:rsid w:val="0092152B"/>
    <w:rsid w:val="00922BCE"/>
    <w:rsid w:val="00923C89"/>
    <w:rsid w:val="00923DEA"/>
    <w:rsid w:val="00924CAF"/>
    <w:rsid w:val="0092524F"/>
    <w:rsid w:val="009260B4"/>
    <w:rsid w:val="00927552"/>
    <w:rsid w:val="0093024E"/>
    <w:rsid w:val="0093144E"/>
    <w:rsid w:val="00931E3C"/>
    <w:rsid w:val="009320CF"/>
    <w:rsid w:val="009336AE"/>
    <w:rsid w:val="0093534E"/>
    <w:rsid w:val="00935D48"/>
    <w:rsid w:val="00936259"/>
    <w:rsid w:val="00936473"/>
    <w:rsid w:val="009419C9"/>
    <w:rsid w:val="00941FD7"/>
    <w:rsid w:val="00942126"/>
    <w:rsid w:val="00942B79"/>
    <w:rsid w:val="00942F64"/>
    <w:rsid w:val="00943A52"/>
    <w:rsid w:val="00947337"/>
    <w:rsid w:val="009473DC"/>
    <w:rsid w:val="009500E6"/>
    <w:rsid w:val="00952A5A"/>
    <w:rsid w:val="0095467B"/>
    <w:rsid w:val="00955832"/>
    <w:rsid w:val="00960179"/>
    <w:rsid w:val="0096104D"/>
    <w:rsid w:val="0096108F"/>
    <w:rsid w:val="009626DF"/>
    <w:rsid w:val="00962788"/>
    <w:rsid w:val="00963670"/>
    <w:rsid w:val="00963B00"/>
    <w:rsid w:val="00964918"/>
    <w:rsid w:val="00964969"/>
    <w:rsid w:val="00965AC4"/>
    <w:rsid w:val="0096679A"/>
    <w:rsid w:val="0096699B"/>
    <w:rsid w:val="00966AE7"/>
    <w:rsid w:val="00967062"/>
    <w:rsid w:val="00967D9C"/>
    <w:rsid w:val="0097060E"/>
    <w:rsid w:val="00970F05"/>
    <w:rsid w:val="00973B47"/>
    <w:rsid w:val="009743D3"/>
    <w:rsid w:val="009756BE"/>
    <w:rsid w:val="009817D8"/>
    <w:rsid w:val="00982E89"/>
    <w:rsid w:val="009837C6"/>
    <w:rsid w:val="00983ED1"/>
    <w:rsid w:val="009854D7"/>
    <w:rsid w:val="00985510"/>
    <w:rsid w:val="0099213B"/>
    <w:rsid w:val="0099250A"/>
    <w:rsid w:val="00992758"/>
    <w:rsid w:val="00992ABD"/>
    <w:rsid w:val="0099302C"/>
    <w:rsid w:val="00993A0D"/>
    <w:rsid w:val="00993BF2"/>
    <w:rsid w:val="00994554"/>
    <w:rsid w:val="00994A79"/>
    <w:rsid w:val="00994E3A"/>
    <w:rsid w:val="009955D7"/>
    <w:rsid w:val="00995EEF"/>
    <w:rsid w:val="0099680E"/>
    <w:rsid w:val="0099765E"/>
    <w:rsid w:val="009A0004"/>
    <w:rsid w:val="009A0DAE"/>
    <w:rsid w:val="009A1FA7"/>
    <w:rsid w:val="009A2D47"/>
    <w:rsid w:val="009A3393"/>
    <w:rsid w:val="009A3D55"/>
    <w:rsid w:val="009A435C"/>
    <w:rsid w:val="009B0512"/>
    <w:rsid w:val="009B0EFE"/>
    <w:rsid w:val="009B11AB"/>
    <w:rsid w:val="009B122D"/>
    <w:rsid w:val="009B1FDE"/>
    <w:rsid w:val="009B2487"/>
    <w:rsid w:val="009B27CC"/>
    <w:rsid w:val="009B395D"/>
    <w:rsid w:val="009B3CCC"/>
    <w:rsid w:val="009B3E1B"/>
    <w:rsid w:val="009B3E5E"/>
    <w:rsid w:val="009B4266"/>
    <w:rsid w:val="009B42D8"/>
    <w:rsid w:val="009B5C8C"/>
    <w:rsid w:val="009B63C0"/>
    <w:rsid w:val="009B78A9"/>
    <w:rsid w:val="009B7B1C"/>
    <w:rsid w:val="009C077D"/>
    <w:rsid w:val="009C2FCD"/>
    <w:rsid w:val="009C3116"/>
    <w:rsid w:val="009C3265"/>
    <w:rsid w:val="009C359D"/>
    <w:rsid w:val="009C361F"/>
    <w:rsid w:val="009C3990"/>
    <w:rsid w:val="009C3BE2"/>
    <w:rsid w:val="009C6AA2"/>
    <w:rsid w:val="009C6BE0"/>
    <w:rsid w:val="009C6CD1"/>
    <w:rsid w:val="009C6D9E"/>
    <w:rsid w:val="009C7351"/>
    <w:rsid w:val="009C74FF"/>
    <w:rsid w:val="009D1179"/>
    <w:rsid w:val="009D1E7E"/>
    <w:rsid w:val="009D22CF"/>
    <w:rsid w:val="009D38E8"/>
    <w:rsid w:val="009D393B"/>
    <w:rsid w:val="009D3B62"/>
    <w:rsid w:val="009D4342"/>
    <w:rsid w:val="009D5CD8"/>
    <w:rsid w:val="009D6A0D"/>
    <w:rsid w:val="009D74BF"/>
    <w:rsid w:val="009D78C9"/>
    <w:rsid w:val="009E2474"/>
    <w:rsid w:val="009E2623"/>
    <w:rsid w:val="009E34AA"/>
    <w:rsid w:val="009E49AC"/>
    <w:rsid w:val="009E4A77"/>
    <w:rsid w:val="009E5BE9"/>
    <w:rsid w:val="009E622C"/>
    <w:rsid w:val="009E6273"/>
    <w:rsid w:val="009E7A7E"/>
    <w:rsid w:val="009F23EF"/>
    <w:rsid w:val="009F25C5"/>
    <w:rsid w:val="009F3228"/>
    <w:rsid w:val="009F334A"/>
    <w:rsid w:val="009F3A4A"/>
    <w:rsid w:val="009F41B1"/>
    <w:rsid w:val="009F494C"/>
    <w:rsid w:val="009F4FC3"/>
    <w:rsid w:val="009F70AD"/>
    <w:rsid w:val="009F7858"/>
    <w:rsid w:val="009F78E2"/>
    <w:rsid w:val="00A00F84"/>
    <w:rsid w:val="00A017D2"/>
    <w:rsid w:val="00A01886"/>
    <w:rsid w:val="00A01B1F"/>
    <w:rsid w:val="00A025FE"/>
    <w:rsid w:val="00A0376A"/>
    <w:rsid w:val="00A03BB9"/>
    <w:rsid w:val="00A05A34"/>
    <w:rsid w:val="00A064EE"/>
    <w:rsid w:val="00A07C29"/>
    <w:rsid w:val="00A10EB2"/>
    <w:rsid w:val="00A12556"/>
    <w:rsid w:val="00A12E2C"/>
    <w:rsid w:val="00A13C2A"/>
    <w:rsid w:val="00A13C66"/>
    <w:rsid w:val="00A14BEF"/>
    <w:rsid w:val="00A15DAA"/>
    <w:rsid w:val="00A15ED8"/>
    <w:rsid w:val="00A17A57"/>
    <w:rsid w:val="00A207A6"/>
    <w:rsid w:val="00A20DED"/>
    <w:rsid w:val="00A233E8"/>
    <w:rsid w:val="00A238CD"/>
    <w:rsid w:val="00A251E8"/>
    <w:rsid w:val="00A25C5E"/>
    <w:rsid w:val="00A25EC1"/>
    <w:rsid w:val="00A269A3"/>
    <w:rsid w:val="00A26A31"/>
    <w:rsid w:val="00A2736B"/>
    <w:rsid w:val="00A27D15"/>
    <w:rsid w:val="00A3279C"/>
    <w:rsid w:val="00A3432C"/>
    <w:rsid w:val="00A34A99"/>
    <w:rsid w:val="00A35A04"/>
    <w:rsid w:val="00A363A1"/>
    <w:rsid w:val="00A36601"/>
    <w:rsid w:val="00A37401"/>
    <w:rsid w:val="00A403D3"/>
    <w:rsid w:val="00A40D2E"/>
    <w:rsid w:val="00A411A4"/>
    <w:rsid w:val="00A421B5"/>
    <w:rsid w:val="00A42A08"/>
    <w:rsid w:val="00A435D5"/>
    <w:rsid w:val="00A446EC"/>
    <w:rsid w:val="00A44858"/>
    <w:rsid w:val="00A44C74"/>
    <w:rsid w:val="00A44D4A"/>
    <w:rsid w:val="00A45C92"/>
    <w:rsid w:val="00A45DF3"/>
    <w:rsid w:val="00A464E1"/>
    <w:rsid w:val="00A468D9"/>
    <w:rsid w:val="00A47A35"/>
    <w:rsid w:val="00A50D55"/>
    <w:rsid w:val="00A529AD"/>
    <w:rsid w:val="00A52CFB"/>
    <w:rsid w:val="00A53288"/>
    <w:rsid w:val="00A54310"/>
    <w:rsid w:val="00A548EB"/>
    <w:rsid w:val="00A5584D"/>
    <w:rsid w:val="00A55E9E"/>
    <w:rsid w:val="00A56469"/>
    <w:rsid w:val="00A56BD8"/>
    <w:rsid w:val="00A56F7C"/>
    <w:rsid w:val="00A57449"/>
    <w:rsid w:val="00A601D6"/>
    <w:rsid w:val="00A6080C"/>
    <w:rsid w:val="00A60F67"/>
    <w:rsid w:val="00A61FBD"/>
    <w:rsid w:val="00A62FF6"/>
    <w:rsid w:val="00A6343E"/>
    <w:rsid w:val="00A637F1"/>
    <w:rsid w:val="00A63A5E"/>
    <w:rsid w:val="00A66013"/>
    <w:rsid w:val="00A662BC"/>
    <w:rsid w:val="00A67306"/>
    <w:rsid w:val="00A70030"/>
    <w:rsid w:val="00A7047F"/>
    <w:rsid w:val="00A70552"/>
    <w:rsid w:val="00A70C04"/>
    <w:rsid w:val="00A72EA6"/>
    <w:rsid w:val="00A735F9"/>
    <w:rsid w:val="00A737A5"/>
    <w:rsid w:val="00A7470F"/>
    <w:rsid w:val="00A74E6F"/>
    <w:rsid w:val="00A77E83"/>
    <w:rsid w:val="00A808BC"/>
    <w:rsid w:val="00A80E75"/>
    <w:rsid w:val="00A80EBF"/>
    <w:rsid w:val="00A8105B"/>
    <w:rsid w:val="00A8289D"/>
    <w:rsid w:val="00A83969"/>
    <w:rsid w:val="00A83A46"/>
    <w:rsid w:val="00A83FAF"/>
    <w:rsid w:val="00A83FF4"/>
    <w:rsid w:val="00A853F2"/>
    <w:rsid w:val="00A871E0"/>
    <w:rsid w:val="00A87882"/>
    <w:rsid w:val="00A87925"/>
    <w:rsid w:val="00A87CC7"/>
    <w:rsid w:val="00A87DA5"/>
    <w:rsid w:val="00A87F38"/>
    <w:rsid w:val="00A90954"/>
    <w:rsid w:val="00A91943"/>
    <w:rsid w:val="00A91D5E"/>
    <w:rsid w:val="00A93278"/>
    <w:rsid w:val="00A936B8"/>
    <w:rsid w:val="00A938D8"/>
    <w:rsid w:val="00A941E2"/>
    <w:rsid w:val="00A94907"/>
    <w:rsid w:val="00A94D94"/>
    <w:rsid w:val="00A95A0E"/>
    <w:rsid w:val="00A9690D"/>
    <w:rsid w:val="00A971AA"/>
    <w:rsid w:val="00AA035C"/>
    <w:rsid w:val="00AA0A14"/>
    <w:rsid w:val="00AA1544"/>
    <w:rsid w:val="00AA19FF"/>
    <w:rsid w:val="00AA1B96"/>
    <w:rsid w:val="00AA3B1B"/>
    <w:rsid w:val="00AA4C67"/>
    <w:rsid w:val="00AA72AB"/>
    <w:rsid w:val="00AA7928"/>
    <w:rsid w:val="00AB086B"/>
    <w:rsid w:val="00AB1ED8"/>
    <w:rsid w:val="00AB244E"/>
    <w:rsid w:val="00AB3635"/>
    <w:rsid w:val="00AC1943"/>
    <w:rsid w:val="00AC3A01"/>
    <w:rsid w:val="00AC3A94"/>
    <w:rsid w:val="00AC462C"/>
    <w:rsid w:val="00AC6DCA"/>
    <w:rsid w:val="00AC773D"/>
    <w:rsid w:val="00AD037E"/>
    <w:rsid w:val="00AD0AB1"/>
    <w:rsid w:val="00AD0AC6"/>
    <w:rsid w:val="00AD1A4C"/>
    <w:rsid w:val="00AD1AE6"/>
    <w:rsid w:val="00AD28F1"/>
    <w:rsid w:val="00AD3AF1"/>
    <w:rsid w:val="00AD58DF"/>
    <w:rsid w:val="00AE0E02"/>
    <w:rsid w:val="00AE10D7"/>
    <w:rsid w:val="00AE357F"/>
    <w:rsid w:val="00AE4F27"/>
    <w:rsid w:val="00AE6C49"/>
    <w:rsid w:val="00AE7A9A"/>
    <w:rsid w:val="00AE7B26"/>
    <w:rsid w:val="00AE7B7E"/>
    <w:rsid w:val="00AE7F94"/>
    <w:rsid w:val="00AF05E9"/>
    <w:rsid w:val="00AF12FC"/>
    <w:rsid w:val="00AF1ECE"/>
    <w:rsid w:val="00AF202D"/>
    <w:rsid w:val="00AF3502"/>
    <w:rsid w:val="00AF3904"/>
    <w:rsid w:val="00AF3A89"/>
    <w:rsid w:val="00AF3BFF"/>
    <w:rsid w:val="00AF3D7B"/>
    <w:rsid w:val="00AF428E"/>
    <w:rsid w:val="00AF42A3"/>
    <w:rsid w:val="00AF460B"/>
    <w:rsid w:val="00AF502E"/>
    <w:rsid w:val="00AF583C"/>
    <w:rsid w:val="00AF647C"/>
    <w:rsid w:val="00AF65E4"/>
    <w:rsid w:val="00AF6C6C"/>
    <w:rsid w:val="00AF7EA3"/>
    <w:rsid w:val="00B02206"/>
    <w:rsid w:val="00B0228C"/>
    <w:rsid w:val="00B029C6"/>
    <w:rsid w:val="00B02FE6"/>
    <w:rsid w:val="00B037E5"/>
    <w:rsid w:val="00B0556C"/>
    <w:rsid w:val="00B05DC3"/>
    <w:rsid w:val="00B05E0E"/>
    <w:rsid w:val="00B119F9"/>
    <w:rsid w:val="00B11D39"/>
    <w:rsid w:val="00B12882"/>
    <w:rsid w:val="00B1473F"/>
    <w:rsid w:val="00B15623"/>
    <w:rsid w:val="00B15A01"/>
    <w:rsid w:val="00B163F1"/>
    <w:rsid w:val="00B165A5"/>
    <w:rsid w:val="00B166C4"/>
    <w:rsid w:val="00B1726F"/>
    <w:rsid w:val="00B173E8"/>
    <w:rsid w:val="00B17BED"/>
    <w:rsid w:val="00B224D6"/>
    <w:rsid w:val="00B22C15"/>
    <w:rsid w:val="00B2318B"/>
    <w:rsid w:val="00B23C88"/>
    <w:rsid w:val="00B24B32"/>
    <w:rsid w:val="00B24BB1"/>
    <w:rsid w:val="00B2712C"/>
    <w:rsid w:val="00B276A7"/>
    <w:rsid w:val="00B30999"/>
    <w:rsid w:val="00B316F6"/>
    <w:rsid w:val="00B37AD5"/>
    <w:rsid w:val="00B4014A"/>
    <w:rsid w:val="00B4170F"/>
    <w:rsid w:val="00B4290B"/>
    <w:rsid w:val="00B43F84"/>
    <w:rsid w:val="00B44305"/>
    <w:rsid w:val="00B445B1"/>
    <w:rsid w:val="00B4465F"/>
    <w:rsid w:val="00B465C6"/>
    <w:rsid w:val="00B465D2"/>
    <w:rsid w:val="00B46D99"/>
    <w:rsid w:val="00B47378"/>
    <w:rsid w:val="00B47927"/>
    <w:rsid w:val="00B51698"/>
    <w:rsid w:val="00B51CB2"/>
    <w:rsid w:val="00B51D70"/>
    <w:rsid w:val="00B5235B"/>
    <w:rsid w:val="00B5286D"/>
    <w:rsid w:val="00B52CA9"/>
    <w:rsid w:val="00B532BE"/>
    <w:rsid w:val="00B53A84"/>
    <w:rsid w:val="00B55E92"/>
    <w:rsid w:val="00B56B2B"/>
    <w:rsid w:val="00B57009"/>
    <w:rsid w:val="00B6008D"/>
    <w:rsid w:val="00B605AB"/>
    <w:rsid w:val="00B609E4"/>
    <w:rsid w:val="00B632F9"/>
    <w:rsid w:val="00B64430"/>
    <w:rsid w:val="00B651EE"/>
    <w:rsid w:val="00B665F6"/>
    <w:rsid w:val="00B66C0A"/>
    <w:rsid w:val="00B66D0E"/>
    <w:rsid w:val="00B67054"/>
    <w:rsid w:val="00B67F55"/>
    <w:rsid w:val="00B70B7E"/>
    <w:rsid w:val="00B71BE4"/>
    <w:rsid w:val="00B749FF"/>
    <w:rsid w:val="00B7506A"/>
    <w:rsid w:val="00B7606A"/>
    <w:rsid w:val="00B76BDD"/>
    <w:rsid w:val="00B76EC7"/>
    <w:rsid w:val="00B77D1F"/>
    <w:rsid w:val="00B8038B"/>
    <w:rsid w:val="00B821DB"/>
    <w:rsid w:val="00B821DE"/>
    <w:rsid w:val="00B82714"/>
    <w:rsid w:val="00B860F3"/>
    <w:rsid w:val="00B87BD2"/>
    <w:rsid w:val="00B87FD7"/>
    <w:rsid w:val="00B90676"/>
    <w:rsid w:val="00B90F4D"/>
    <w:rsid w:val="00B9249B"/>
    <w:rsid w:val="00B92878"/>
    <w:rsid w:val="00B93508"/>
    <w:rsid w:val="00B93742"/>
    <w:rsid w:val="00B9546F"/>
    <w:rsid w:val="00B96720"/>
    <w:rsid w:val="00B97A61"/>
    <w:rsid w:val="00B97C72"/>
    <w:rsid w:val="00B97E73"/>
    <w:rsid w:val="00B97F09"/>
    <w:rsid w:val="00BA074C"/>
    <w:rsid w:val="00BA0A04"/>
    <w:rsid w:val="00BA135B"/>
    <w:rsid w:val="00BA1787"/>
    <w:rsid w:val="00BA2FC3"/>
    <w:rsid w:val="00BA3F04"/>
    <w:rsid w:val="00BA429F"/>
    <w:rsid w:val="00BA43AA"/>
    <w:rsid w:val="00BA4624"/>
    <w:rsid w:val="00BA4E1A"/>
    <w:rsid w:val="00BA5288"/>
    <w:rsid w:val="00BA5A7A"/>
    <w:rsid w:val="00BA5C26"/>
    <w:rsid w:val="00BA62DD"/>
    <w:rsid w:val="00BB07B6"/>
    <w:rsid w:val="00BB0809"/>
    <w:rsid w:val="00BB169D"/>
    <w:rsid w:val="00BB1BBF"/>
    <w:rsid w:val="00BB2C5C"/>
    <w:rsid w:val="00BB363C"/>
    <w:rsid w:val="00BB3ADA"/>
    <w:rsid w:val="00BB3CDE"/>
    <w:rsid w:val="00BB49A7"/>
    <w:rsid w:val="00BB6371"/>
    <w:rsid w:val="00BB6815"/>
    <w:rsid w:val="00BB6E07"/>
    <w:rsid w:val="00BB7A8B"/>
    <w:rsid w:val="00BC1126"/>
    <w:rsid w:val="00BC1D5C"/>
    <w:rsid w:val="00BC23E3"/>
    <w:rsid w:val="00BC45A3"/>
    <w:rsid w:val="00BC7728"/>
    <w:rsid w:val="00BC77DA"/>
    <w:rsid w:val="00BC79DA"/>
    <w:rsid w:val="00BD023A"/>
    <w:rsid w:val="00BD06A0"/>
    <w:rsid w:val="00BD1CAC"/>
    <w:rsid w:val="00BD31E0"/>
    <w:rsid w:val="00BD4102"/>
    <w:rsid w:val="00BD42D3"/>
    <w:rsid w:val="00BD4438"/>
    <w:rsid w:val="00BD4630"/>
    <w:rsid w:val="00BD55A4"/>
    <w:rsid w:val="00BD59C6"/>
    <w:rsid w:val="00BD64CD"/>
    <w:rsid w:val="00BD6C82"/>
    <w:rsid w:val="00BD744B"/>
    <w:rsid w:val="00BD75B8"/>
    <w:rsid w:val="00BD7BAB"/>
    <w:rsid w:val="00BE08C7"/>
    <w:rsid w:val="00BE08CB"/>
    <w:rsid w:val="00BE15AB"/>
    <w:rsid w:val="00BE4142"/>
    <w:rsid w:val="00BE4B2E"/>
    <w:rsid w:val="00BE4DA2"/>
    <w:rsid w:val="00BE6414"/>
    <w:rsid w:val="00BE6F0A"/>
    <w:rsid w:val="00BF05E1"/>
    <w:rsid w:val="00BF0D20"/>
    <w:rsid w:val="00BF1699"/>
    <w:rsid w:val="00BF2080"/>
    <w:rsid w:val="00BF3706"/>
    <w:rsid w:val="00BF3D62"/>
    <w:rsid w:val="00BF4B38"/>
    <w:rsid w:val="00BF5BA5"/>
    <w:rsid w:val="00BF6156"/>
    <w:rsid w:val="00BF6554"/>
    <w:rsid w:val="00BF782F"/>
    <w:rsid w:val="00BF7EAC"/>
    <w:rsid w:val="00C00C17"/>
    <w:rsid w:val="00C00E22"/>
    <w:rsid w:val="00C013ED"/>
    <w:rsid w:val="00C027B3"/>
    <w:rsid w:val="00C02B86"/>
    <w:rsid w:val="00C04591"/>
    <w:rsid w:val="00C04926"/>
    <w:rsid w:val="00C05137"/>
    <w:rsid w:val="00C06385"/>
    <w:rsid w:val="00C06639"/>
    <w:rsid w:val="00C066C4"/>
    <w:rsid w:val="00C06726"/>
    <w:rsid w:val="00C06F27"/>
    <w:rsid w:val="00C123C2"/>
    <w:rsid w:val="00C14AD9"/>
    <w:rsid w:val="00C14E9B"/>
    <w:rsid w:val="00C15384"/>
    <w:rsid w:val="00C15597"/>
    <w:rsid w:val="00C15A60"/>
    <w:rsid w:val="00C17765"/>
    <w:rsid w:val="00C204A0"/>
    <w:rsid w:val="00C22565"/>
    <w:rsid w:val="00C2345E"/>
    <w:rsid w:val="00C2415F"/>
    <w:rsid w:val="00C25C55"/>
    <w:rsid w:val="00C26360"/>
    <w:rsid w:val="00C26438"/>
    <w:rsid w:val="00C27E57"/>
    <w:rsid w:val="00C30120"/>
    <w:rsid w:val="00C30EFB"/>
    <w:rsid w:val="00C319FA"/>
    <w:rsid w:val="00C325F6"/>
    <w:rsid w:val="00C32B67"/>
    <w:rsid w:val="00C33375"/>
    <w:rsid w:val="00C33CC3"/>
    <w:rsid w:val="00C34C32"/>
    <w:rsid w:val="00C35F5D"/>
    <w:rsid w:val="00C36B64"/>
    <w:rsid w:val="00C37410"/>
    <w:rsid w:val="00C4254C"/>
    <w:rsid w:val="00C438BF"/>
    <w:rsid w:val="00C43C20"/>
    <w:rsid w:val="00C4402A"/>
    <w:rsid w:val="00C44180"/>
    <w:rsid w:val="00C446FD"/>
    <w:rsid w:val="00C4558B"/>
    <w:rsid w:val="00C46874"/>
    <w:rsid w:val="00C46BDB"/>
    <w:rsid w:val="00C50468"/>
    <w:rsid w:val="00C5098E"/>
    <w:rsid w:val="00C51BBE"/>
    <w:rsid w:val="00C52930"/>
    <w:rsid w:val="00C53094"/>
    <w:rsid w:val="00C530DC"/>
    <w:rsid w:val="00C53783"/>
    <w:rsid w:val="00C54333"/>
    <w:rsid w:val="00C56901"/>
    <w:rsid w:val="00C57549"/>
    <w:rsid w:val="00C57F42"/>
    <w:rsid w:val="00C60F14"/>
    <w:rsid w:val="00C61C19"/>
    <w:rsid w:val="00C61CBC"/>
    <w:rsid w:val="00C62794"/>
    <w:rsid w:val="00C63A3E"/>
    <w:rsid w:val="00C64AAA"/>
    <w:rsid w:val="00C64E41"/>
    <w:rsid w:val="00C64F60"/>
    <w:rsid w:val="00C65741"/>
    <w:rsid w:val="00C65744"/>
    <w:rsid w:val="00C65E33"/>
    <w:rsid w:val="00C67EB3"/>
    <w:rsid w:val="00C752E3"/>
    <w:rsid w:val="00C75523"/>
    <w:rsid w:val="00C76839"/>
    <w:rsid w:val="00C77284"/>
    <w:rsid w:val="00C80255"/>
    <w:rsid w:val="00C80438"/>
    <w:rsid w:val="00C81844"/>
    <w:rsid w:val="00C81DE1"/>
    <w:rsid w:val="00C82EFD"/>
    <w:rsid w:val="00C83D73"/>
    <w:rsid w:val="00C85627"/>
    <w:rsid w:val="00C85D0F"/>
    <w:rsid w:val="00C86B25"/>
    <w:rsid w:val="00C91C16"/>
    <w:rsid w:val="00C92F4E"/>
    <w:rsid w:val="00C94EE5"/>
    <w:rsid w:val="00C9529B"/>
    <w:rsid w:val="00C955ED"/>
    <w:rsid w:val="00C95A58"/>
    <w:rsid w:val="00C95FB0"/>
    <w:rsid w:val="00C96ABE"/>
    <w:rsid w:val="00C97870"/>
    <w:rsid w:val="00C97F7F"/>
    <w:rsid w:val="00CA00B1"/>
    <w:rsid w:val="00CA0721"/>
    <w:rsid w:val="00CA0A46"/>
    <w:rsid w:val="00CA10CF"/>
    <w:rsid w:val="00CA16C6"/>
    <w:rsid w:val="00CA1FAD"/>
    <w:rsid w:val="00CA2A31"/>
    <w:rsid w:val="00CA3C5A"/>
    <w:rsid w:val="00CA485F"/>
    <w:rsid w:val="00CA4D6F"/>
    <w:rsid w:val="00CA58B3"/>
    <w:rsid w:val="00CA6589"/>
    <w:rsid w:val="00CB06C0"/>
    <w:rsid w:val="00CB09DE"/>
    <w:rsid w:val="00CB0FA7"/>
    <w:rsid w:val="00CB3280"/>
    <w:rsid w:val="00CB42F3"/>
    <w:rsid w:val="00CB592D"/>
    <w:rsid w:val="00CB5DEC"/>
    <w:rsid w:val="00CB7254"/>
    <w:rsid w:val="00CC0B74"/>
    <w:rsid w:val="00CC0BB9"/>
    <w:rsid w:val="00CC10C4"/>
    <w:rsid w:val="00CC23B1"/>
    <w:rsid w:val="00CC23DA"/>
    <w:rsid w:val="00CC254B"/>
    <w:rsid w:val="00CC287C"/>
    <w:rsid w:val="00CC369E"/>
    <w:rsid w:val="00CC3941"/>
    <w:rsid w:val="00CC493C"/>
    <w:rsid w:val="00CC4A2C"/>
    <w:rsid w:val="00CC4C76"/>
    <w:rsid w:val="00CC5C1C"/>
    <w:rsid w:val="00CC6425"/>
    <w:rsid w:val="00CC6BBC"/>
    <w:rsid w:val="00CC6D8B"/>
    <w:rsid w:val="00CC77D4"/>
    <w:rsid w:val="00CC7D02"/>
    <w:rsid w:val="00CC7D39"/>
    <w:rsid w:val="00CD02AD"/>
    <w:rsid w:val="00CD048B"/>
    <w:rsid w:val="00CD0A0A"/>
    <w:rsid w:val="00CD25F8"/>
    <w:rsid w:val="00CD26FC"/>
    <w:rsid w:val="00CD2989"/>
    <w:rsid w:val="00CD2A5F"/>
    <w:rsid w:val="00CD3669"/>
    <w:rsid w:val="00CD386F"/>
    <w:rsid w:val="00CD39EB"/>
    <w:rsid w:val="00CD3E17"/>
    <w:rsid w:val="00CD4A3D"/>
    <w:rsid w:val="00CD6CB0"/>
    <w:rsid w:val="00CE034E"/>
    <w:rsid w:val="00CE0F78"/>
    <w:rsid w:val="00CE1AAE"/>
    <w:rsid w:val="00CE1CA5"/>
    <w:rsid w:val="00CE2C3B"/>
    <w:rsid w:val="00CE3661"/>
    <w:rsid w:val="00CE435D"/>
    <w:rsid w:val="00CE51EE"/>
    <w:rsid w:val="00CE573D"/>
    <w:rsid w:val="00CE5A8F"/>
    <w:rsid w:val="00CF0FE1"/>
    <w:rsid w:val="00CF15DC"/>
    <w:rsid w:val="00CF1929"/>
    <w:rsid w:val="00CF2343"/>
    <w:rsid w:val="00CF2C65"/>
    <w:rsid w:val="00CF4A5F"/>
    <w:rsid w:val="00D01794"/>
    <w:rsid w:val="00D018E1"/>
    <w:rsid w:val="00D01A4A"/>
    <w:rsid w:val="00D02215"/>
    <w:rsid w:val="00D02467"/>
    <w:rsid w:val="00D02A8C"/>
    <w:rsid w:val="00D0307C"/>
    <w:rsid w:val="00D03F24"/>
    <w:rsid w:val="00D04FB7"/>
    <w:rsid w:val="00D0609F"/>
    <w:rsid w:val="00D06D07"/>
    <w:rsid w:val="00D072E3"/>
    <w:rsid w:val="00D079B1"/>
    <w:rsid w:val="00D07A91"/>
    <w:rsid w:val="00D07E2D"/>
    <w:rsid w:val="00D1008E"/>
    <w:rsid w:val="00D11343"/>
    <w:rsid w:val="00D117E2"/>
    <w:rsid w:val="00D12594"/>
    <w:rsid w:val="00D12848"/>
    <w:rsid w:val="00D1368B"/>
    <w:rsid w:val="00D1413F"/>
    <w:rsid w:val="00D15588"/>
    <w:rsid w:val="00D16301"/>
    <w:rsid w:val="00D17212"/>
    <w:rsid w:val="00D17F7C"/>
    <w:rsid w:val="00D220C0"/>
    <w:rsid w:val="00D22184"/>
    <w:rsid w:val="00D2250D"/>
    <w:rsid w:val="00D22AE1"/>
    <w:rsid w:val="00D23B19"/>
    <w:rsid w:val="00D23BF3"/>
    <w:rsid w:val="00D2453F"/>
    <w:rsid w:val="00D26EBC"/>
    <w:rsid w:val="00D26F52"/>
    <w:rsid w:val="00D27AA4"/>
    <w:rsid w:val="00D27E33"/>
    <w:rsid w:val="00D301CE"/>
    <w:rsid w:val="00D31CF9"/>
    <w:rsid w:val="00D334FF"/>
    <w:rsid w:val="00D33E6E"/>
    <w:rsid w:val="00D34D6D"/>
    <w:rsid w:val="00D34EC2"/>
    <w:rsid w:val="00D34FFE"/>
    <w:rsid w:val="00D35872"/>
    <w:rsid w:val="00D35E42"/>
    <w:rsid w:val="00D36E11"/>
    <w:rsid w:val="00D40275"/>
    <w:rsid w:val="00D41895"/>
    <w:rsid w:val="00D42CFF"/>
    <w:rsid w:val="00D43296"/>
    <w:rsid w:val="00D4333A"/>
    <w:rsid w:val="00D44A3B"/>
    <w:rsid w:val="00D44B2A"/>
    <w:rsid w:val="00D45731"/>
    <w:rsid w:val="00D47524"/>
    <w:rsid w:val="00D4797E"/>
    <w:rsid w:val="00D5073B"/>
    <w:rsid w:val="00D50AF2"/>
    <w:rsid w:val="00D50FEA"/>
    <w:rsid w:val="00D5187C"/>
    <w:rsid w:val="00D5221A"/>
    <w:rsid w:val="00D52405"/>
    <w:rsid w:val="00D52426"/>
    <w:rsid w:val="00D52822"/>
    <w:rsid w:val="00D52ACE"/>
    <w:rsid w:val="00D541F0"/>
    <w:rsid w:val="00D551F7"/>
    <w:rsid w:val="00D55255"/>
    <w:rsid w:val="00D55846"/>
    <w:rsid w:val="00D55C5F"/>
    <w:rsid w:val="00D56174"/>
    <w:rsid w:val="00D57559"/>
    <w:rsid w:val="00D575E3"/>
    <w:rsid w:val="00D6007C"/>
    <w:rsid w:val="00D61FDE"/>
    <w:rsid w:val="00D62678"/>
    <w:rsid w:val="00D62BEF"/>
    <w:rsid w:val="00D62CB6"/>
    <w:rsid w:val="00D62F11"/>
    <w:rsid w:val="00D6338C"/>
    <w:rsid w:val="00D633BC"/>
    <w:rsid w:val="00D63733"/>
    <w:rsid w:val="00D64546"/>
    <w:rsid w:val="00D64C28"/>
    <w:rsid w:val="00D64DF3"/>
    <w:rsid w:val="00D65125"/>
    <w:rsid w:val="00D6515B"/>
    <w:rsid w:val="00D6597D"/>
    <w:rsid w:val="00D700BA"/>
    <w:rsid w:val="00D7072B"/>
    <w:rsid w:val="00D70A34"/>
    <w:rsid w:val="00D71312"/>
    <w:rsid w:val="00D72B5A"/>
    <w:rsid w:val="00D74426"/>
    <w:rsid w:val="00D74DDB"/>
    <w:rsid w:val="00D75670"/>
    <w:rsid w:val="00D75B80"/>
    <w:rsid w:val="00D76151"/>
    <w:rsid w:val="00D76159"/>
    <w:rsid w:val="00D76E13"/>
    <w:rsid w:val="00D801D5"/>
    <w:rsid w:val="00D807C9"/>
    <w:rsid w:val="00D80FD1"/>
    <w:rsid w:val="00D816DE"/>
    <w:rsid w:val="00D82F86"/>
    <w:rsid w:val="00D856B7"/>
    <w:rsid w:val="00D857CE"/>
    <w:rsid w:val="00D85ED6"/>
    <w:rsid w:val="00D86617"/>
    <w:rsid w:val="00D86E75"/>
    <w:rsid w:val="00D86F83"/>
    <w:rsid w:val="00D87433"/>
    <w:rsid w:val="00D91D79"/>
    <w:rsid w:val="00D91F3B"/>
    <w:rsid w:val="00D92391"/>
    <w:rsid w:val="00D93907"/>
    <w:rsid w:val="00D95838"/>
    <w:rsid w:val="00D95F4D"/>
    <w:rsid w:val="00DA081F"/>
    <w:rsid w:val="00DA0E6D"/>
    <w:rsid w:val="00DA1143"/>
    <w:rsid w:val="00DA229D"/>
    <w:rsid w:val="00DA3155"/>
    <w:rsid w:val="00DA32AE"/>
    <w:rsid w:val="00DA3B99"/>
    <w:rsid w:val="00DA4FA4"/>
    <w:rsid w:val="00DA5542"/>
    <w:rsid w:val="00DA6077"/>
    <w:rsid w:val="00DA6716"/>
    <w:rsid w:val="00DA682B"/>
    <w:rsid w:val="00DA7073"/>
    <w:rsid w:val="00DA71A7"/>
    <w:rsid w:val="00DA75EA"/>
    <w:rsid w:val="00DA7C26"/>
    <w:rsid w:val="00DA7CEE"/>
    <w:rsid w:val="00DB075C"/>
    <w:rsid w:val="00DB12F5"/>
    <w:rsid w:val="00DB1AC3"/>
    <w:rsid w:val="00DB1D91"/>
    <w:rsid w:val="00DB27AF"/>
    <w:rsid w:val="00DB2B3E"/>
    <w:rsid w:val="00DB2F60"/>
    <w:rsid w:val="00DB37FC"/>
    <w:rsid w:val="00DB5846"/>
    <w:rsid w:val="00DB6606"/>
    <w:rsid w:val="00DB722F"/>
    <w:rsid w:val="00DC0292"/>
    <w:rsid w:val="00DC0A49"/>
    <w:rsid w:val="00DC1814"/>
    <w:rsid w:val="00DC32E6"/>
    <w:rsid w:val="00DC4345"/>
    <w:rsid w:val="00DC5AF6"/>
    <w:rsid w:val="00DC6689"/>
    <w:rsid w:val="00DD44D0"/>
    <w:rsid w:val="00DD4511"/>
    <w:rsid w:val="00DD490C"/>
    <w:rsid w:val="00DD5380"/>
    <w:rsid w:val="00DD572A"/>
    <w:rsid w:val="00DD5A03"/>
    <w:rsid w:val="00DD62E2"/>
    <w:rsid w:val="00DD717D"/>
    <w:rsid w:val="00DD7E55"/>
    <w:rsid w:val="00DE0376"/>
    <w:rsid w:val="00DE165B"/>
    <w:rsid w:val="00DE1A57"/>
    <w:rsid w:val="00DE1C63"/>
    <w:rsid w:val="00DE2783"/>
    <w:rsid w:val="00DE2FCF"/>
    <w:rsid w:val="00DE35D1"/>
    <w:rsid w:val="00DE3BD6"/>
    <w:rsid w:val="00DE68CE"/>
    <w:rsid w:val="00DE7B1E"/>
    <w:rsid w:val="00DE7E93"/>
    <w:rsid w:val="00DF0118"/>
    <w:rsid w:val="00DF078E"/>
    <w:rsid w:val="00DF0CB8"/>
    <w:rsid w:val="00DF0EE5"/>
    <w:rsid w:val="00DF125D"/>
    <w:rsid w:val="00DF149F"/>
    <w:rsid w:val="00DF1C88"/>
    <w:rsid w:val="00DF20B8"/>
    <w:rsid w:val="00DF2471"/>
    <w:rsid w:val="00DF28E6"/>
    <w:rsid w:val="00DF4873"/>
    <w:rsid w:val="00DF51B9"/>
    <w:rsid w:val="00DF75E2"/>
    <w:rsid w:val="00DF7866"/>
    <w:rsid w:val="00E00446"/>
    <w:rsid w:val="00E00F0A"/>
    <w:rsid w:val="00E013DE"/>
    <w:rsid w:val="00E0219B"/>
    <w:rsid w:val="00E038E8"/>
    <w:rsid w:val="00E03B96"/>
    <w:rsid w:val="00E04B47"/>
    <w:rsid w:val="00E05328"/>
    <w:rsid w:val="00E056C5"/>
    <w:rsid w:val="00E076D9"/>
    <w:rsid w:val="00E11100"/>
    <w:rsid w:val="00E11648"/>
    <w:rsid w:val="00E11729"/>
    <w:rsid w:val="00E11F65"/>
    <w:rsid w:val="00E122E5"/>
    <w:rsid w:val="00E12A05"/>
    <w:rsid w:val="00E13F7E"/>
    <w:rsid w:val="00E14072"/>
    <w:rsid w:val="00E147D0"/>
    <w:rsid w:val="00E1519C"/>
    <w:rsid w:val="00E15AE2"/>
    <w:rsid w:val="00E15B33"/>
    <w:rsid w:val="00E162EE"/>
    <w:rsid w:val="00E176F1"/>
    <w:rsid w:val="00E20B73"/>
    <w:rsid w:val="00E2124F"/>
    <w:rsid w:val="00E22345"/>
    <w:rsid w:val="00E2243C"/>
    <w:rsid w:val="00E226EB"/>
    <w:rsid w:val="00E237B7"/>
    <w:rsid w:val="00E2393B"/>
    <w:rsid w:val="00E23F9B"/>
    <w:rsid w:val="00E2417F"/>
    <w:rsid w:val="00E24206"/>
    <w:rsid w:val="00E24A0F"/>
    <w:rsid w:val="00E25171"/>
    <w:rsid w:val="00E25BAD"/>
    <w:rsid w:val="00E26A28"/>
    <w:rsid w:val="00E26E34"/>
    <w:rsid w:val="00E31624"/>
    <w:rsid w:val="00E322BC"/>
    <w:rsid w:val="00E331F2"/>
    <w:rsid w:val="00E34390"/>
    <w:rsid w:val="00E37822"/>
    <w:rsid w:val="00E40A28"/>
    <w:rsid w:val="00E413B8"/>
    <w:rsid w:val="00E41BDC"/>
    <w:rsid w:val="00E4261C"/>
    <w:rsid w:val="00E43EDA"/>
    <w:rsid w:val="00E44D01"/>
    <w:rsid w:val="00E45F17"/>
    <w:rsid w:val="00E45F93"/>
    <w:rsid w:val="00E45FE1"/>
    <w:rsid w:val="00E47F25"/>
    <w:rsid w:val="00E504AE"/>
    <w:rsid w:val="00E53103"/>
    <w:rsid w:val="00E54DA7"/>
    <w:rsid w:val="00E5500D"/>
    <w:rsid w:val="00E57391"/>
    <w:rsid w:val="00E60052"/>
    <w:rsid w:val="00E62001"/>
    <w:rsid w:val="00E6206B"/>
    <w:rsid w:val="00E636B8"/>
    <w:rsid w:val="00E636BC"/>
    <w:rsid w:val="00E63B34"/>
    <w:rsid w:val="00E65BB1"/>
    <w:rsid w:val="00E65F18"/>
    <w:rsid w:val="00E6782F"/>
    <w:rsid w:val="00E7014F"/>
    <w:rsid w:val="00E704EF"/>
    <w:rsid w:val="00E70D92"/>
    <w:rsid w:val="00E70E03"/>
    <w:rsid w:val="00E70E63"/>
    <w:rsid w:val="00E7120D"/>
    <w:rsid w:val="00E71387"/>
    <w:rsid w:val="00E735F6"/>
    <w:rsid w:val="00E75B93"/>
    <w:rsid w:val="00E76070"/>
    <w:rsid w:val="00E76A09"/>
    <w:rsid w:val="00E77B08"/>
    <w:rsid w:val="00E80CD1"/>
    <w:rsid w:val="00E82762"/>
    <w:rsid w:val="00E841D2"/>
    <w:rsid w:val="00E84DC8"/>
    <w:rsid w:val="00E84FD4"/>
    <w:rsid w:val="00E857BB"/>
    <w:rsid w:val="00E93065"/>
    <w:rsid w:val="00E935BB"/>
    <w:rsid w:val="00E93B2A"/>
    <w:rsid w:val="00E942F6"/>
    <w:rsid w:val="00E9470E"/>
    <w:rsid w:val="00E94766"/>
    <w:rsid w:val="00E95077"/>
    <w:rsid w:val="00E955F4"/>
    <w:rsid w:val="00E95CB5"/>
    <w:rsid w:val="00E96518"/>
    <w:rsid w:val="00E968B1"/>
    <w:rsid w:val="00E96A99"/>
    <w:rsid w:val="00EA1090"/>
    <w:rsid w:val="00EA12EF"/>
    <w:rsid w:val="00EA2848"/>
    <w:rsid w:val="00EA3061"/>
    <w:rsid w:val="00EA401F"/>
    <w:rsid w:val="00EA4FEE"/>
    <w:rsid w:val="00EA5109"/>
    <w:rsid w:val="00EA69D4"/>
    <w:rsid w:val="00EA71D7"/>
    <w:rsid w:val="00EA787D"/>
    <w:rsid w:val="00EB167E"/>
    <w:rsid w:val="00EB24E8"/>
    <w:rsid w:val="00EB2848"/>
    <w:rsid w:val="00EB3528"/>
    <w:rsid w:val="00EB3E23"/>
    <w:rsid w:val="00EB4BEC"/>
    <w:rsid w:val="00EB4C75"/>
    <w:rsid w:val="00EB4FA9"/>
    <w:rsid w:val="00EB5690"/>
    <w:rsid w:val="00EB5D5E"/>
    <w:rsid w:val="00EB6A3A"/>
    <w:rsid w:val="00EB7561"/>
    <w:rsid w:val="00EB7960"/>
    <w:rsid w:val="00EC0A5C"/>
    <w:rsid w:val="00EC0CC0"/>
    <w:rsid w:val="00EC0E0E"/>
    <w:rsid w:val="00EC12DA"/>
    <w:rsid w:val="00EC1596"/>
    <w:rsid w:val="00EC1C73"/>
    <w:rsid w:val="00EC34DB"/>
    <w:rsid w:val="00EC4053"/>
    <w:rsid w:val="00EC4633"/>
    <w:rsid w:val="00EC4F64"/>
    <w:rsid w:val="00EC6251"/>
    <w:rsid w:val="00EC67E1"/>
    <w:rsid w:val="00EC6D21"/>
    <w:rsid w:val="00EC7C93"/>
    <w:rsid w:val="00ED005E"/>
    <w:rsid w:val="00ED0361"/>
    <w:rsid w:val="00ED0A01"/>
    <w:rsid w:val="00ED2975"/>
    <w:rsid w:val="00ED33B3"/>
    <w:rsid w:val="00ED3ECE"/>
    <w:rsid w:val="00ED4082"/>
    <w:rsid w:val="00ED4D29"/>
    <w:rsid w:val="00ED5486"/>
    <w:rsid w:val="00ED5A47"/>
    <w:rsid w:val="00EE1AD0"/>
    <w:rsid w:val="00EE1D9A"/>
    <w:rsid w:val="00EE200A"/>
    <w:rsid w:val="00EE24F8"/>
    <w:rsid w:val="00EE3CE7"/>
    <w:rsid w:val="00EE40F9"/>
    <w:rsid w:val="00EE4652"/>
    <w:rsid w:val="00EE4765"/>
    <w:rsid w:val="00EE4CF3"/>
    <w:rsid w:val="00EE53F9"/>
    <w:rsid w:val="00EE549A"/>
    <w:rsid w:val="00EE779C"/>
    <w:rsid w:val="00EF0844"/>
    <w:rsid w:val="00EF1C2C"/>
    <w:rsid w:val="00EF34A9"/>
    <w:rsid w:val="00EF36B9"/>
    <w:rsid w:val="00EF405E"/>
    <w:rsid w:val="00EF4440"/>
    <w:rsid w:val="00EF4BE9"/>
    <w:rsid w:val="00EF54B9"/>
    <w:rsid w:val="00EF5533"/>
    <w:rsid w:val="00EF5672"/>
    <w:rsid w:val="00EF59EE"/>
    <w:rsid w:val="00EF634D"/>
    <w:rsid w:val="00EF65E0"/>
    <w:rsid w:val="00EF664C"/>
    <w:rsid w:val="00EF72E7"/>
    <w:rsid w:val="00EF7517"/>
    <w:rsid w:val="00F013E1"/>
    <w:rsid w:val="00F01BD8"/>
    <w:rsid w:val="00F05FE6"/>
    <w:rsid w:val="00F06A1D"/>
    <w:rsid w:val="00F102B8"/>
    <w:rsid w:val="00F1095D"/>
    <w:rsid w:val="00F1457D"/>
    <w:rsid w:val="00F158FE"/>
    <w:rsid w:val="00F15BDD"/>
    <w:rsid w:val="00F15DE0"/>
    <w:rsid w:val="00F16925"/>
    <w:rsid w:val="00F16D03"/>
    <w:rsid w:val="00F16E61"/>
    <w:rsid w:val="00F210B6"/>
    <w:rsid w:val="00F21C1C"/>
    <w:rsid w:val="00F220EE"/>
    <w:rsid w:val="00F23710"/>
    <w:rsid w:val="00F23D76"/>
    <w:rsid w:val="00F23F31"/>
    <w:rsid w:val="00F240AB"/>
    <w:rsid w:val="00F246D8"/>
    <w:rsid w:val="00F24855"/>
    <w:rsid w:val="00F255A4"/>
    <w:rsid w:val="00F256EA"/>
    <w:rsid w:val="00F263BD"/>
    <w:rsid w:val="00F2701A"/>
    <w:rsid w:val="00F2742C"/>
    <w:rsid w:val="00F2747C"/>
    <w:rsid w:val="00F27D3D"/>
    <w:rsid w:val="00F3271D"/>
    <w:rsid w:val="00F3280B"/>
    <w:rsid w:val="00F33721"/>
    <w:rsid w:val="00F33B02"/>
    <w:rsid w:val="00F33BFD"/>
    <w:rsid w:val="00F3619A"/>
    <w:rsid w:val="00F3675B"/>
    <w:rsid w:val="00F36811"/>
    <w:rsid w:val="00F41A08"/>
    <w:rsid w:val="00F4268E"/>
    <w:rsid w:val="00F427B0"/>
    <w:rsid w:val="00F4281F"/>
    <w:rsid w:val="00F4447F"/>
    <w:rsid w:val="00F4513E"/>
    <w:rsid w:val="00F45495"/>
    <w:rsid w:val="00F454D4"/>
    <w:rsid w:val="00F4646B"/>
    <w:rsid w:val="00F46574"/>
    <w:rsid w:val="00F46C96"/>
    <w:rsid w:val="00F470DF"/>
    <w:rsid w:val="00F500DC"/>
    <w:rsid w:val="00F51329"/>
    <w:rsid w:val="00F5207A"/>
    <w:rsid w:val="00F52349"/>
    <w:rsid w:val="00F5283D"/>
    <w:rsid w:val="00F53F70"/>
    <w:rsid w:val="00F54493"/>
    <w:rsid w:val="00F54A77"/>
    <w:rsid w:val="00F55964"/>
    <w:rsid w:val="00F55CF2"/>
    <w:rsid w:val="00F5795B"/>
    <w:rsid w:val="00F600DD"/>
    <w:rsid w:val="00F6031E"/>
    <w:rsid w:val="00F60BFF"/>
    <w:rsid w:val="00F61291"/>
    <w:rsid w:val="00F622C9"/>
    <w:rsid w:val="00F63598"/>
    <w:rsid w:val="00F635EA"/>
    <w:rsid w:val="00F636B2"/>
    <w:rsid w:val="00F63ADA"/>
    <w:rsid w:val="00F65921"/>
    <w:rsid w:val="00F65BAC"/>
    <w:rsid w:val="00F7020A"/>
    <w:rsid w:val="00F702F2"/>
    <w:rsid w:val="00F70D88"/>
    <w:rsid w:val="00F727FE"/>
    <w:rsid w:val="00F730A7"/>
    <w:rsid w:val="00F74365"/>
    <w:rsid w:val="00F75718"/>
    <w:rsid w:val="00F75748"/>
    <w:rsid w:val="00F77377"/>
    <w:rsid w:val="00F77BAD"/>
    <w:rsid w:val="00F80561"/>
    <w:rsid w:val="00F81208"/>
    <w:rsid w:val="00F81F5E"/>
    <w:rsid w:val="00F82275"/>
    <w:rsid w:val="00F838F2"/>
    <w:rsid w:val="00F84D0D"/>
    <w:rsid w:val="00F86322"/>
    <w:rsid w:val="00F9050A"/>
    <w:rsid w:val="00F90797"/>
    <w:rsid w:val="00F92B26"/>
    <w:rsid w:val="00F93082"/>
    <w:rsid w:val="00F942A4"/>
    <w:rsid w:val="00F94D7C"/>
    <w:rsid w:val="00F959A9"/>
    <w:rsid w:val="00FA0B71"/>
    <w:rsid w:val="00FA0D34"/>
    <w:rsid w:val="00FA1471"/>
    <w:rsid w:val="00FA2FB9"/>
    <w:rsid w:val="00FA3819"/>
    <w:rsid w:val="00FA402F"/>
    <w:rsid w:val="00FA7CBD"/>
    <w:rsid w:val="00FB0268"/>
    <w:rsid w:val="00FB0969"/>
    <w:rsid w:val="00FB0FD4"/>
    <w:rsid w:val="00FB26D2"/>
    <w:rsid w:val="00FB2DFC"/>
    <w:rsid w:val="00FB3322"/>
    <w:rsid w:val="00FB3BBA"/>
    <w:rsid w:val="00FB450E"/>
    <w:rsid w:val="00FB5DC8"/>
    <w:rsid w:val="00FB69F1"/>
    <w:rsid w:val="00FB6EEB"/>
    <w:rsid w:val="00FB7747"/>
    <w:rsid w:val="00FB7AF6"/>
    <w:rsid w:val="00FC1599"/>
    <w:rsid w:val="00FC2CA4"/>
    <w:rsid w:val="00FC3136"/>
    <w:rsid w:val="00FC3230"/>
    <w:rsid w:val="00FC39E4"/>
    <w:rsid w:val="00FC443A"/>
    <w:rsid w:val="00FC44E6"/>
    <w:rsid w:val="00FC4BC9"/>
    <w:rsid w:val="00FC4CDB"/>
    <w:rsid w:val="00FC6170"/>
    <w:rsid w:val="00FC761E"/>
    <w:rsid w:val="00FC7A98"/>
    <w:rsid w:val="00FD09B5"/>
    <w:rsid w:val="00FD10E5"/>
    <w:rsid w:val="00FD1350"/>
    <w:rsid w:val="00FD350C"/>
    <w:rsid w:val="00FD619B"/>
    <w:rsid w:val="00FE0199"/>
    <w:rsid w:val="00FE0B27"/>
    <w:rsid w:val="00FE0FC9"/>
    <w:rsid w:val="00FE1E79"/>
    <w:rsid w:val="00FE2C58"/>
    <w:rsid w:val="00FE2ED1"/>
    <w:rsid w:val="00FE3078"/>
    <w:rsid w:val="00FE3606"/>
    <w:rsid w:val="00FE4170"/>
    <w:rsid w:val="00FE4608"/>
    <w:rsid w:val="00FE4D85"/>
    <w:rsid w:val="00FE5C6A"/>
    <w:rsid w:val="00FE6139"/>
    <w:rsid w:val="00FE6ECA"/>
    <w:rsid w:val="00FE7513"/>
    <w:rsid w:val="00FF0D02"/>
    <w:rsid w:val="00FF0D3F"/>
    <w:rsid w:val="00FF1E88"/>
    <w:rsid w:val="00FF2060"/>
    <w:rsid w:val="00FF25BA"/>
    <w:rsid w:val="00FF2822"/>
    <w:rsid w:val="00FF431C"/>
    <w:rsid w:val="00FF4DC8"/>
    <w:rsid w:val="00FF57B3"/>
    <w:rsid w:val="00FF5DEA"/>
    <w:rsid w:val="00FF6452"/>
    <w:rsid w:val="00FF679D"/>
    <w:rsid w:val="01205D5C"/>
    <w:rsid w:val="01452AD4"/>
    <w:rsid w:val="01892705"/>
    <w:rsid w:val="01EF572E"/>
    <w:rsid w:val="029C58B6"/>
    <w:rsid w:val="02D47275"/>
    <w:rsid w:val="03060417"/>
    <w:rsid w:val="030D2310"/>
    <w:rsid w:val="032B5C04"/>
    <w:rsid w:val="03396AD2"/>
    <w:rsid w:val="036C59DF"/>
    <w:rsid w:val="03A72764"/>
    <w:rsid w:val="03B368D6"/>
    <w:rsid w:val="040704E4"/>
    <w:rsid w:val="04084A4E"/>
    <w:rsid w:val="04BF3ADE"/>
    <w:rsid w:val="057A4E2A"/>
    <w:rsid w:val="05900FD6"/>
    <w:rsid w:val="05C56ED2"/>
    <w:rsid w:val="05EB1571"/>
    <w:rsid w:val="0610120A"/>
    <w:rsid w:val="066466EB"/>
    <w:rsid w:val="068A3C77"/>
    <w:rsid w:val="069950F5"/>
    <w:rsid w:val="069D39AB"/>
    <w:rsid w:val="06B443D7"/>
    <w:rsid w:val="06F81F89"/>
    <w:rsid w:val="070F183B"/>
    <w:rsid w:val="07124399"/>
    <w:rsid w:val="07177D13"/>
    <w:rsid w:val="074677C5"/>
    <w:rsid w:val="07691ADF"/>
    <w:rsid w:val="076F17EB"/>
    <w:rsid w:val="07AD2313"/>
    <w:rsid w:val="07BD062F"/>
    <w:rsid w:val="081143F1"/>
    <w:rsid w:val="08162176"/>
    <w:rsid w:val="081839E3"/>
    <w:rsid w:val="08BA0844"/>
    <w:rsid w:val="08C825AB"/>
    <w:rsid w:val="08DE39BC"/>
    <w:rsid w:val="08DF08D1"/>
    <w:rsid w:val="09004400"/>
    <w:rsid w:val="093E49EA"/>
    <w:rsid w:val="098E38AC"/>
    <w:rsid w:val="09DD5A62"/>
    <w:rsid w:val="0A0F4BBF"/>
    <w:rsid w:val="0A114614"/>
    <w:rsid w:val="0A3D0E62"/>
    <w:rsid w:val="0A4C7BC2"/>
    <w:rsid w:val="0A966B3B"/>
    <w:rsid w:val="0B106E41"/>
    <w:rsid w:val="0B226B74"/>
    <w:rsid w:val="0BA457DB"/>
    <w:rsid w:val="0BAB6B6A"/>
    <w:rsid w:val="0BD22349"/>
    <w:rsid w:val="0C0E3C48"/>
    <w:rsid w:val="0C240C67"/>
    <w:rsid w:val="0CA40B12"/>
    <w:rsid w:val="0CB21974"/>
    <w:rsid w:val="0CEE6D0E"/>
    <w:rsid w:val="0D374B59"/>
    <w:rsid w:val="0D403E08"/>
    <w:rsid w:val="0D5C78BD"/>
    <w:rsid w:val="0D8E28A5"/>
    <w:rsid w:val="0D9225A1"/>
    <w:rsid w:val="0DB341F9"/>
    <w:rsid w:val="0DC800F3"/>
    <w:rsid w:val="0E222D0C"/>
    <w:rsid w:val="0E9B2EC6"/>
    <w:rsid w:val="0ED63EFE"/>
    <w:rsid w:val="0EE7435D"/>
    <w:rsid w:val="0F08519E"/>
    <w:rsid w:val="0F6B399D"/>
    <w:rsid w:val="10041DAA"/>
    <w:rsid w:val="11146A2F"/>
    <w:rsid w:val="11354359"/>
    <w:rsid w:val="116D75A7"/>
    <w:rsid w:val="11764F69"/>
    <w:rsid w:val="11B958EF"/>
    <w:rsid w:val="11F95F00"/>
    <w:rsid w:val="12176D07"/>
    <w:rsid w:val="124675EC"/>
    <w:rsid w:val="125735A8"/>
    <w:rsid w:val="12B145BF"/>
    <w:rsid w:val="13092CEF"/>
    <w:rsid w:val="130A454B"/>
    <w:rsid w:val="133C40E3"/>
    <w:rsid w:val="134A403C"/>
    <w:rsid w:val="13962AD7"/>
    <w:rsid w:val="13985C26"/>
    <w:rsid w:val="13A21FEC"/>
    <w:rsid w:val="13AF4217"/>
    <w:rsid w:val="13E56991"/>
    <w:rsid w:val="14184FB8"/>
    <w:rsid w:val="143376FC"/>
    <w:rsid w:val="14524DB8"/>
    <w:rsid w:val="148443FC"/>
    <w:rsid w:val="14B10B0E"/>
    <w:rsid w:val="14E54E9B"/>
    <w:rsid w:val="150D6D4C"/>
    <w:rsid w:val="15224ED9"/>
    <w:rsid w:val="152942DC"/>
    <w:rsid w:val="15A5287C"/>
    <w:rsid w:val="15A615A7"/>
    <w:rsid w:val="15BF393E"/>
    <w:rsid w:val="16154F61"/>
    <w:rsid w:val="165E18D9"/>
    <w:rsid w:val="16BB47BE"/>
    <w:rsid w:val="16FF7D6A"/>
    <w:rsid w:val="17135CFC"/>
    <w:rsid w:val="17694783"/>
    <w:rsid w:val="17942E4E"/>
    <w:rsid w:val="17AB3F0F"/>
    <w:rsid w:val="17FD24FB"/>
    <w:rsid w:val="180772A5"/>
    <w:rsid w:val="180C0990"/>
    <w:rsid w:val="1840063A"/>
    <w:rsid w:val="185010A8"/>
    <w:rsid w:val="18A8690B"/>
    <w:rsid w:val="18CE5C46"/>
    <w:rsid w:val="18E172F4"/>
    <w:rsid w:val="18E65685"/>
    <w:rsid w:val="18E67433"/>
    <w:rsid w:val="18ED7940"/>
    <w:rsid w:val="190D2C12"/>
    <w:rsid w:val="19445CB1"/>
    <w:rsid w:val="19466124"/>
    <w:rsid w:val="19526877"/>
    <w:rsid w:val="196E16CB"/>
    <w:rsid w:val="1981715C"/>
    <w:rsid w:val="19BD0194"/>
    <w:rsid w:val="19E86395"/>
    <w:rsid w:val="1A2D646D"/>
    <w:rsid w:val="1A2E1092"/>
    <w:rsid w:val="1A6B57F9"/>
    <w:rsid w:val="1AC75042"/>
    <w:rsid w:val="1AC832ED"/>
    <w:rsid w:val="1ADC3E5D"/>
    <w:rsid w:val="1AF37BE5"/>
    <w:rsid w:val="1AF57DF7"/>
    <w:rsid w:val="1B5645B2"/>
    <w:rsid w:val="1B76114C"/>
    <w:rsid w:val="1B771DEC"/>
    <w:rsid w:val="1BAD248A"/>
    <w:rsid w:val="1BE715E0"/>
    <w:rsid w:val="1C2A3ADB"/>
    <w:rsid w:val="1D0A1DA9"/>
    <w:rsid w:val="1D306ECF"/>
    <w:rsid w:val="1D4806BC"/>
    <w:rsid w:val="1D5A3826"/>
    <w:rsid w:val="1D5F0CB9"/>
    <w:rsid w:val="1D9778E0"/>
    <w:rsid w:val="1DC31AF1"/>
    <w:rsid w:val="1DE2466D"/>
    <w:rsid w:val="1E5E1BA1"/>
    <w:rsid w:val="1E78201F"/>
    <w:rsid w:val="1EC051DE"/>
    <w:rsid w:val="1ED65854"/>
    <w:rsid w:val="1F1F655C"/>
    <w:rsid w:val="1F774AE9"/>
    <w:rsid w:val="202C121B"/>
    <w:rsid w:val="20401B1F"/>
    <w:rsid w:val="204D4DD1"/>
    <w:rsid w:val="21060DE7"/>
    <w:rsid w:val="2116462E"/>
    <w:rsid w:val="214336CD"/>
    <w:rsid w:val="21DB72A0"/>
    <w:rsid w:val="22584289"/>
    <w:rsid w:val="2268710B"/>
    <w:rsid w:val="22D60519"/>
    <w:rsid w:val="23634205"/>
    <w:rsid w:val="23A60F04"/>
    <w:rsid w:val="23B64C17"/>
    <w:rsid w:val="23E0794A"/>
    <w:rsid w:val="24325F21"/>
    <w:rsid w:val="24786C71"/>
    <w:rsid w:val="24E707BB"/>
    <w:rsid w:val="25326883"/>
    <w:rsid w:val="257233E0"/>
    <w:rsid w:val="25BA7C7E"/>
    <w:rsid w:val="26577400"/>
    <w:rsid w:val="26661BB3"/>
    <w:rsid w:val="26812549"/>
    <w:rsid w:val="26CE6D5A"/>
    <w:rsid w:val="271B28EE"/>
    <w:rsid w:val="274075BF"/>
    <w:rsid w:val="277B4A32"/>
    <w:rsid w:val="279318E1"/>
    <w:rsid w:val="27BD3A45"/>
    <w:rsid w:val="27CC1EEA"/>
    <w:rsid w:val="281B76DF"/>
    <w:rsid w:val="282472DA"/>
    <w:rsid w:val="282B4E63"/>
    <w:rsid w:val="283A32F8"/>
    <w:rsid w:val="286E4D4F"/>
    <w:rsid w:val="286E67B0"/>
    <w:rsid w:val="28EC3C09"/>
    <w:rsid w:val="28F315B9"/>
    <w:rsid w:val="293B7327"/>
    <w:rsid w:val="29451F54"/>
    <w:rsid w:val="294F692F"/>
    <w:rsid w:val="296B5CE6"/>
    <w:rsid w:val="298A5E8B"/>
    <w:rsid w:val="298E7457"/>
    <w:rsid w:val="29D83C6A"/>
    <w:rsid w:val="2A1E16E8"/>
    <w:rsid w:val="2A3224D8"/>
    <w:rsid w:val="2A354D2B"/>
    <w:rsid w:val="2A4C65EF"/>
    <w:rsid w:val="2A994305"/>
    <w:rsid w:val="2A9E7B6E"/>
    <w:rsid w:val="2AD97670"/>
    <w:rsid w:val="2AF754D0"/>
    <w:rsid w:val="2B3521C5"/>
    <w:rsid w:val="2B7421E0"/>
    <w:rsid w:val="2B8A38F5"/>
    <w:rsid w:val="2C11436F"/>
    <w:rsid w:val="2C4A2F1B"/>
    <w:rsid w:val="2CFB456C"/>
    <w:rsid w:val="2D931E0B"/>
    <w:rsid w:val="2DE52019"/>
    <w:rsid w:val="2E222864"/>
    <w:rsid w:val="2E2F57A8"/>
    <w:rsid w:val="2E326917"/>
    <w:rsid w:val="2E7A61FC"/>
    <w:rsid w:val="2E9B796F"/>
    <w:rsid w:val="2EF014AF"/>
    <w:rsid w:val="2EF064BE"/>
    <w:rsid w:val="2EF41197"/>
    <w:rsid w:val="2F527179"/>
    <w:rsid w:val="2F6D5D61"/>
    <w:rsid w:val="2F804486"/>
    <w:rsid w:val="2F807842"/>
    <w:rsid w:val="2F90122C"/>
    <w:rsid w:val="2FB15C4D"/>
    <w:rsid w:val="30182CEC"/>
    <w:rsid w:val="30233D12"/>
    <w:rsid w:val="30281C88"/>
    <w:rsid w:val="303D5F6A"/>
    <w:rsid w:val="305A62E5"/>
    <w:rsid w:val="307849BD"/>
    <w:rsid w:val="309644B9"/>
    <w:rsid w:val="30AB6B41"/>
    <w:rsid w:val="31601201"/>
    <w:rsid w:val="31DC7C8E"/>
    <w:rsid w:val="31E433F2"/>
    <w:rsid w:val="32BF68D3"/>
    <w:rsid w:val="33104CE8"/>
    <w:rsid w:val="335C7EBF"/>
    <w:rsid w:val="33680D19"/>
    <w:rsid w:val="33E47C43"/>
    <w:rsid w:val="341779F0"/>
    <w:rsid w:val="347F385B"/>
    <w:rsid w:val="34BB756E"/>
    <w:rsid w:val="35340709"/>
    <w:rsid w:val="35696FCA"/>
    <w:rsid w:val="35775E49"/>
    <w:rsid w:val="359D0114"/>
    <w:rsid w:val="35C10BB4"/>
    <w:rsid w:val="35DE6969"/>
    <w:rsid w:val="36031527"/>
    <w:rsid w:val="3608208A"/>
    <w:rsid w:val="36082526"/>
    <w:rsid w:val="366F23BE"/>
    <w:rsid w:val="36751080"/>
    <w:rsid w:val="379D6F40"/>
    <w:rsid w:val="37E666B0"/>
    <w:rsid w:val="381508E9"/>
    <w:rsid w:val="384D4981"/>
    <w:rsid w:val="38516CC0"/>
    <w:rsid w:val="386341A5"/>
    <w:rsid w:val="386D7354"/>
    <w:rsid w:val="3885236D"/>
    <w:rsid w:val="38B00159"/>
    <w:rsid w:val="395D6E46"/>
    <w:rsid w:val="39846181"/>
    <w:rsid w:val="39E02CB9"/>
    <w:rsid w:val="3A9E3D54"/>
    <w:rsid w:val="3ABC5104"/>
    <w:rsid w:val="3B9B7678"/>
    <w:rsid w:val="3BCC2061"/>
    <w:rsid w:val="3BD70ADC"/>
    <w:rsid w:val="3BEF24C8"/>
    <w:rsid w:val="3C6D73A0"/>
    <w:rsid w:val="3C737FD3"/>
    <w:rsid w:val="3C771FCD"/>
    <w:rsid w:val="3CB91C61"/>
    <w:rsid w:val="3CC47D5A"/>
    <w:rsid w:val="3CDF4210"/>
    <w:rsid w:val="3CE92580"/>
    <w:rsid w:val="3CF7310E"/>
    <w:rsid w:val="3D5B3CE8"/>
    <w:rsid w:val="3D70539A"/>
    <w:rsid w:val="3DE6740A"/>
    <w:rsid w:val="3E87081A"/>
    <w:rsid w:val="3E936DF3"/>
    <w:rsid w:val="3EEC748C"/>
    <w:rsid w:val="3F073ADC"/>
    <w:rsid w:val="3F273106"/>
    <w:rsid w:val="3F441FE0"/>
    <w:rsid w:val="3F584337"/>
    <w:rsid w:val="3F5B457E"/>
    <w:rsid w:val="3F5B7984"/>
    <w:rsid w:val="3FAD29C8"/>
    <w:rsid w:val="3FAF7CCF"/>
    <w:rsid w:val="3FEB295F"/>
    <w:rsid w:val="4024165D"/>
    <w:rsid w:val="40374B6D"/>
    <w:rsid w:val="406B2A4D"/>
    <w:rsid w:val="40B60161"/>
    <w:rsid w:val="40BC08F6"/>
    <w:rsid w:val="40F61A64"/>
    <w:rsid w:val="412B1DB3"/>
    <w:rsid w:val="41F314C8"/>
    <w:rsid w:val="41F87669"/>
    <w:rsid w:val="41FA0199"/>
    <w:rsid w:val="41FB7762"/>
    <w:rsid w:val="4240770B"/>
    <w:rsid w:val="43AA712C"/>
    <w:rsid w:val="43BA615C"/>
    <w:rsid w:val="43C91EA8"/>
    <w:rsid w:val="43E50164"/>
    <w:rsid w:val="440B14F6"/>
    <w:rsid w:val="44CE28A0"/>
    <w:rsid w:val="459B4F7E"/>
    <w:rsid w:val="45B11D68"/>
    <w:rsid w:val="465313B5"/>
    <w:rsid w:val="46933EA7"/>
    <w:rsid w:val="46A25B54"/>
    <w:rsid w:val="46CE1383"/>
    <w:rsid w:val="46D53016"/>
    <w:rsid w:val="47715C5A"/>
    <w:rsid w:val="478E72F6"/>
    <w:rsid w:val="47CC49EC"/>
    <w:rsid w:val="48000668"/>
    <w:rsid w:val="480A63EB"/>
    <w:rsid w:val="481D611E"/>
    <w:rsid w:val="484542FC"/>
    <w:rsid w:val="485A3BD9"/>
    <w:rsid w:val="48621D83"/>
    <w:rsid w:val="487C41F9"/>
    <w:rsid w:val="487D148C"/>
    <w:rsid w:val="48B97CCE"/>
    <w:rsid w:val="48D0541A"/>
    <w:rsid w:val="49043209"/>
    <w:rsid w:val="49274105"/>
    <w:rsid w:val="492D2391"/>
    <w:rsid w:val="49F8426B"/>
    <w:rsid w:val="4A1C1FE8"/>
    <w:rsid w:val="4AA13C5F"/>
    <w:rsid w:val="4AE42F23"/>
    <w:rsid w:val="4B2652EA"/>
    <w:rsid w:val="4B3D0885"/>
    <w:rsid w:val="4B6B71A0"/>
    <w:rsid w:val="4B717041"/>
    <w:rsid w:val="4B832A9D"/>
    <w:rsid w:val="4B866135"/>
    <w:rsid w:val="4C000645"/>
    <w:rsid w:val="4C46376A"/>
    <w:rsid w:val="4CB14F29"/>
    <w:rsid w:val="4CEF4302"/>
    <w:rsid w:val="4D0553D3"/>
    <w:rsid w:val="4D7A6E73"/>
    <w:rsid w:val="4DC1579E"/>
    <w:rsid w:val="4DCF0560"/>
    <w:rsid w:val="4DF60BFE"/>
    <w:rsid w:val="4EF70D4B"/>
    <w:rsid w:val="4EFC38DA"/>
    <w:rsid w:val="4F0A6CD0"/>
    <w:rsid w:val="4F0F2539"/>
    <w:rsid w:val="4F506DD9"/>
    <w:rsid w:val="4F7E01A8"/>
    <w:rsid w:val="4F8C3B89"/>
    <w:rsid w:val="50AC6DAF"/>
    <w:rsid w:val="50BC224C"/>
    <w:rsid w:val="510818D5"/>
    <w:rsid w:val="512247A5"/>
    <w:rsid w:val="51246899"/>
    <w:rsid w:val="516E3547"/>
    <w:rsid w:val="51C60458"/>
    <w:rsid w:val="521B25EC"/>
    <w:rsid w:val="525479B0"/>
    <w:rsid w:val="52557D50"/>
    <w:rsid w:val="526F5924"/>
    <w:rsid w:val="52822770"/>
    <w:rsid w:val="52A20CC7"/>
    <w:rsid w:val="52DC7590"/>
    <w:rsid w:val="530408E7"/>
    <w:rsid w:val="53051C89"/>
    <w:rsid w:val="534053B7"/>
    <w:rsid w:val="53590226"/>
    <w:rsid w:val="53E44A6C"/>
    <w:rsid w:val="54191BC4"/>
    <w:rsid w:val="54295E4B"/>
    <w:rsid w:val="54316AAD"/>
    <w:rsid w:val="546D5D37"/>
    <w:rsid w:val="549F5523"/>
    <w:rsid w:val="54C12969"/>
    <w:rsid w:val="55AC7297"/>
    <w:rsid w:val="55DB0127"/>
    <w:rsid w:val="5652105E"/>
    <w:rsid w:val="56985643"/>
    <w:rsid w:val="56A07B0C"/>
    <w:rsid w:val="56F918D2"/>
    <w:rsid w:val="57262970"/>
    <w:rsid w:val="579D4104"/>
    <w:rsid w:val="582B03E3"/>
    <w:rsid w:val="58353010"/>
    <w:rsid w:val="58D72319"/>
    <w:rsid w:val="59261BFE"/>
    <w:rsid w:val="59AF0BA0"/>
    <w:rsid w:val="5A1C27BE"/>
    <w:rsid w:val="5A221372"/>
    <w:rsid w:val="5A6000EC"/>
    <w:rsid w:val="5A954584"/>
    <w:rsid w:val="5AE34FA5"/>
    <w:rsid w:val="5B077979"/>
    <w:rsid w:val="5B4C3E6B"/>
    <w:rsid w:val="5B5630E8"/>
    <w:rsid w:val="5B6C50F2"/>
    <w:rsid w:val="5BBE331C"/>
    <w:rsid w:val="5C3166BC"/>
    <w:rsid w:val="5CE9261B"/>
    <w:rsid w:val="5D6B1282"/>
    <w:rsid w:val="5D725B4C"/>
    <w:rsid w:val="5D72616D"/>
    <w:rsid w:val="5DD84CA5"/>
    <w:rsid w:val="5DE102FD"/>
    <w:rsid w:val="5E0C3B05"/>
    <w:rsid w:val="5E14434C"/>
    <w:rsid w:val="5E1E00A2"/>
    <w:rsid w:val="5E1E5D47"/>
    <w:rsid w:val="5EBA426F"/>
    <w:rsid w:val="5F9D594B"/>
    <w:rsid w:val="5FC41C4F"/>
    <w:rsid w:val="5FFE63DD"/>
    <w:rsid w:val="60386B04"/>
    <w:rsid w:val="60681AA9"/>
    <w:rsid w:val="60814FC1"/>
    <w:rsid w:val="60984ECA"/>
    <w:rsid w:val="60BA1CDC"/>
    <w:rsid w:val="60FB291D"/>
    <w:rsid w:val="61112641"/>
    <w:rsid w:val="6122434D"/>
    <w:rsid w:val="614B635D"/>
    <w:rsid w:val="61675734"/>
    <w:rsid w:val="61695AEB"/>
    <w:rsid w:val="61F70708"/>
    <w:rsid w:val="62272036"/>
    <w:rsid w:val="6252052D"/>
    <w:rsid w:val="631F174A"/>
    <w:rsid w:val="636855AF"/>
    <w:rsid w:val="63957059"/>
    <w:rsid w:val="63B87064"/>
    <w:rsid w:val="6416788C"/>
    <w:rsid w:val="644C3BBB"/>
    <w:rsid w:val="645E569D"/>
    <w:rsid w:val="64A23CC0"/>
    <w:rsid w:val="650B0B09"/>
    <w:rsid w:val="65977EDE"/>
    <w:rsid w:val="65E322FD"/>
    <w:rsid w:val="6612673F"/>
    <w:rsid w:val="662841B4"/>
    <w:rsid w:val="66347DA3"/>
    <w:rsid w:val="663A7A43"/>
    <w:rsid w:val="668D4017"/>
    <w:rsid w:val="66C0619B"/>
    <w:rsid w:val="670818F0"/>
    <w:rsid w:val="679B6C71"/>
    <w:rsid w:val="67BA613E"/>
    <w:rsid w:val="67FF0F45"/>
    <w:rsid w:val="680123CC"/>
    <w:rsid w:val="68CA6E30"/>
    <w:rsid w:val="68CD3C0E"/>
    <w:rsid w:val="68CD75DD"/>
    <w:rsid w:val="68D73C6F"/>
    <w:rsid w:val="691A6F29"/>
    <w:rsid w:val="69693D3D"/>
    <w:rsid w:val="69807E63"/>
    <w:rsid w:val="698F00A6"/>
    <w:rsid w:val="69D25D9B"/>
    <w:rsid w:val="69FD4C75"/>
    <w:rsid w:val="6A024569"/>
    <w:rsid w:val="6A314D28"/>
    <w:rsid w:val="6A644B89"/>
    <w:rsid w:val="6AA961F3"/>
    <w:rsid w:val="6B15282D"/>
    <w:rsid w:val="6B37444B"/>
    <w:rsid w:val="6BF76636"/>
    <w:rsid w:val="6C0812D5"/>
    <w:rsid w:val="6C4E6630"/>
    <w:rsid w:val="6CDD5841"/>
    <w:rsid w:val="6CE67097"/>
    <w:rsid w:val="6D370A3C"/>
    <w:rsid w:val="6E113E58"/>
    <w:rsid w:val="6E55366C"/>
    <w:rsid w:val="6E867CCA"/>
    <w:rsid w:val="6E9E4BA4"/>
    <w:rsid w:val="6F8B2F63"/>
    <w:rsid w:val="6F9F41EB"/>
    <w:rsid w:val="7016507D"/>
    <w:rsid w:val="702472F4"/>
    <w:rsid w:val="70D50537"/>
    <w:rsid w:val="70E231B1"/>
    <w:rsid w:val="713444F2"/>
    <w:rsid w:val="718524BB"/>
    <w:rsid w:val="71AE54E7"/>
    <w:rsid w:val="71E35433"/>
    <w:rsid w:val="71F96A05"/>
    <w:rsid w:val="72035CC8"/>
    <w:rsid w:val="723563AF"/>
    <w:rsid w:val="724203AC"/>
    <w:rsid w:val="72DC5D2F"/>
    <w:rsid w:val="73025B0D"/>
    <w:rsid w:val="731C5BEF"/>
    <w:rsid w:val="735F4F8D"/>
    <w:rsid w:val="7366059E"/>
    <w:rsid w:val="73676B5C"/>
    <w:rsid w:val="73697BBA"/>
    <w:rsid w:val="737E0E20"/>
    <w:rsid w:val="7386076C"/>
    <w:rsid w:val="73884DB2"/>
    <w:rsid w:val="73B52BB6"/>
    <w:rsid w:val="74CF1F0E"/>
    <w:rsid w:val="74FF4C73"/>
    <w:rsid w:val="75E33B75"/>
    <w:rsid w:val="75E359E0"/>
    <w:rsid w:val="76634D94"/>
    <w:rsid w:val="76DD3507"/>
    <w:rsid w:val="76F95B10"/>
    <w:rsid w:val="76FE59F2"/>
    <w:rsid w:val="78056BCB"/>
    <w:rsid w:val="78242B22"/>
    <w:rsid w:val="78397B5B"/>
    <w:rsid w:val="7850114F"/>
    <w:rsid w:val="78B10039"/>
    <w:rsid w:val="78C77326"/>
    <w:rsid w:val="78FD3FA9"/>
    <w:rsid w:val="79301912"/>
    <w:rsid w:val="7973709D"/>
    <w:rsid w:val="79834386"/>
    <w:rsid w:val="79B853F7"/>
    <w:rsid w:val="79C43D9C"/>
    <w:rsid w:val="7A1E1EDC"/>
    <w:rsid w:val="7A790AB1"/>
    <w:rsid w:val="7AA02113"/>
    <w:rsid w:val="7AA37E55"/>
    <w:rsid w:val="7AA634A2"/>
    <w:rsid w:val="7ABB6F4D"/>
    <w:rsid w:val="7AD25315"/>
    <w:rsid w:val="7AFA3237"/>
    <w:rsid w:val="7B551DDA"/>
    <w:rsid w:val="7B9A1258"/>
    <w:rsid w:val="7BAE5A72"/>
    <w:rsid w:val="7C2B4215"/>
    <w:rsid w:val="7C563669"/>
    <w:rsid w:val="7CBD0FF3"/>
    <w:rsid w:val="7CCA3477"/>
    <w:rsid w:val="7D053B12"/>
    <w:rsid w:val="7D221505"/>
    <w:rsid w:val="7D3D29DA"/>
    <w:rsid w:val="7D6C2F76"/>
    <w:rsid w:val="7D84471C"/>
    <w:rsid w:val="7E0806FB"/>
    <w:rsid w:val="7E6002BB"/>
    <w:rsid w:val="7F51148C"/>
    <w:rsid w:val="7FFD2E0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qFormat="1" w:unhideWhenUsed="0" w:uiPriority="99" w:name="toc 4"/>
    <w:lsdException w:qFormat="1" w:unhideWhenUsed="0" w:uiPriority="99" w:name="toc 5"/>
    <w:lsdException w:uiPriority="39" w:name="toc 6" w:locked="1"/>
    <w:lsdException w:uiPriority="39" w:name="toc 7" w:locked="1"/>
    <w:lsdException w:uiPriority="39" w:name="toc 8" w:locked="1"/>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qFormat="1" w:unhideWhenUsed="0" w:uiPriority="99" w:semiHidden="0" w:name="HTML Variable"/>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33"/>
    <w:qFormat/>
    <w:uiPriority w:val="99"/>
    <w:pPr>
      <w:keepNext/>
      <w:keepLines/>
      <w:snapToGrid w:val="0"/>
      <w:spacing w:beforeLines="200" w:afterLines="100"/>
      <w:jc w:val="center"/>
      <w:outlineLvl w:val="0"/>
    </w:pPr>
    <w:rPr>
      <w:rFonts w:ascii="黑体" w:hAnsi="宋体" w:eastAsia="黑体" w:cs="黑体"/>
      <w:b/>
      <w:bCs/>
      <w:kern w:val="44"/>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widowControl/>
      <w:spacing w:after="200" w:line="360" w:lineRule="auto"/>
      <w:ind w:firstLine="540" w:firstLineChars="225"/>
      <w:jc w:val="left"/>
    </w:pPr>
    <w:rPr>
      <w:rFonts w:ascii="宋体" w:hAnsi="宋体" w:cs="宋体"/>
      <w:kern w:val="0"/>
      <w:sz w:val="24"/>
      <w:szCs w:val="24"/>
      <w:lang w:eastAsia="en-US"/>
    </w:rPr>
  </w:style>
  <w:style w:type="paragraph" w:styleId="4">
    <w:name w:val="Document Map"/>
    <w:basedOn w:val="1"/>
    <w:link w:val="36"/>
    <w:semiHidden/>
    <w:qFormat/>
    <w:uiPriority w:val="99"/>
    <w:pPr>
      <w:shd w:val="clear" w:color="auto" w:fill="000080"/>
    </w:pPr>
    <w:rPr>
      <w:rFonts w:ascii="宋体" w:hAnsi="宋体" w:cs="宋体"/>
      <w:kern w:val="0"/>
      <w:sz w:val="2"/>
      <w:szCs w:val="2"/>
    </w:rPr>
  </w:style>
  <w:style w:type="paragraph" w:styleId="5">
    <w:name w:val="annotation text"/>
    <w:basedOn w:val="1"/>
    <w:link w:val="34"/>
    <w:semiHidden/>
    <w:qFormat/>
    <w:uiPriority w:val="99"/>
    <w:pPr>
      <w:jc w:val="left"/>
    </w:pPr>
    <w:rPr>
      <w:rFonts w:ascii="宋体" w:hAnsi="宋体" w:cs="宋体"/>
    </w:rPr>
  </w:style>
  <w:style w:type="paragraph" w:styleId="6">
    <w:name w:val="Body Text"/>
    <w:basedOn w:val="1"/>
    <w:next w:val="1"/>
    <w:qFormat/>
    <w:locked/>
    <w:uiPriority w:val="99"/>
    <w:pPr>
      <w:spacing w:after="120"/>
    </w:pPr>
  </w:style>
  <w:style w:type="paragraph" w:styleId="7">
    <w:name w:val="toc 5"/>
    <w:basedOn w:val="1"/>
    <w:next w:val="1"/>
    <w:semiHidden/>
    <w:qFormat/>
    <w:uiPriority w:val="99"/>
    <w:pPr>
      <w:ind w:left="1680" w:leftChars="800"/>
    </w:pPr>
  </w:style>
  <w:style w:type="paragraph" w:styleId="8">
    <w:name w:val="Plain Text"/>
    <w:basedOn w:val="1"/>
    <w:link w:val="45"/>
    <w:qFormat/>
    <w:uiPriority w:val="99"/>
    <w:rPr>
      <w:rFonts w:ascii="宋体" w:hAnsi="Courier New" w:cs="宋体"/>
    </w:rPr>
  </w:style>
  <w:style w:type="paragraph" w:styleId="9">
    <w:name w:val="Date"/>
    <w:basedOn w:val="1"/>
    <w:next w:val="1"/>
    <w:link w:val="38"/>
    <w:qFormat/>
    <w:uiPriority w:val="99"/>
    <w:rPr>
      <w:kern w:val="0"/>
      <w:sz w:val="20"/>
      <w:szCs w:val="20"/>
    </w:rPr>
  </w:style>
  <w:style w:type="paragraph" w:styleId="10">
    <w:name w:val="Balloon Text"/>
    <w:basedOn w:val="1"/>
    <w:link w:val="39"/>
    <w:semiHidden/>
    <w:qFormat/>
    <w:uiPriority w:val="99"/>
    <w:rPr>
      <w:kern w:val="0"/>
      <w:sz w:val="2"/>
      <w:szCs w:val="2"/>
    </w:rPr>
  </w:style>
  <w:style w:type="paragraph" w:styleId="11">
    <w:name w:val="footer"/>
    <w:basedOn w:val="1"/>
    <w:link w:val="40"/>
    <w:qFormat/>
    <w:uiPriority w:val="99"/>
    <w:pPr>
      <w:tabs>
        <w:tab w:val="center" w:pos="4153"/>
        <w:tab w:val="right" w:pos="8306"/>
      </w:tabs>
      <w:snapToGrid w:val="0"/>
      <w:jc w:val="left"/>
    </w:pPr>
    <w:rPr>
      <w:rFonts w:ascii="宋体" w:hAnsi="宋体" w:cs="宋体"/>
      <w:sz w:val="18"/>
      <w:szCs w:val="18"/>
    </w:rPr>
  </w:style>
  <w:style w:type="paragraph" w:styleId="12">
    <w:name w:val="header"/>
    <w:basedOn w:val="1"/>
    <w:link w:val="41"/>
    <w:qFormat/>
    <w:uiPriority w:val="99"/>
    <w:pPr>
      <w:pBdr>
        <w:bottom w:val="single" w:color="auto" w:sz="6" w:space="1"/>
      </w:pBdr>
      <w:tabs>
        <w:tab w:val="center" w:pos="4153"/>
        <w:tab w:val="right" w:pos="8306"/>
      </w:tabs>
      <w:snapToGrid w:val="0"/>
      <w:jc w:val="center"/>
    </w:pPr>
    <w:rPr>
      <w:rFonts w:ascii="宋体" w:hAnsi="宋体" w:cs="宋体"/>
      <w:sz w:val="18"/>
      <w:szCs w:val="18"/>
    </w:rPr>
  </w:style>
  <w:style w:type="paragraph" w:styleId="13">
    <w:name w:val="toc 1"/>
    <w:basedOn w:val="1"/>
    <w:next w:val="1"/>
    <w:semiHidden/>
    <w:qFormat/>
    <w:uiPriority w:val="99"/>
    <w:pPr>
      <w:tabs>
        <w:tab w:val="right" w:leader="dot" w:pos="8303"/>
      </w:tabs>
      <w:spacing w:line="360" w:lineRule="auto"/>
    </w:pPr>
  </w:style>
  <w:style w:type="paragraph" w:styleId="14">
    <w:name w:val="toc 4"/>
    <w:basedOn w:val="1"/>
    <w:next w:val="1"/>
    <w:semiHidden/>
    <w:qFormat/>
    <w:uiPriority w:val="99"/>
    <w:pPr>
      <w:ind w:left="1260" w:leftChars="600"/>
    </w:pPr>
  </w:style>
  <w:style w:type="paragraph" w:styleId="15">
    <w:name w:val="footnote text"/>
    <w:basedOn w:val="1"/>
    <w:link w:val="42"/>
    <w:semiHidden/>
    <w:qFormat/>
    <w:uiPriority w:val="99"/>
    <w:pPr>
      <w:snapToGrid w:val="0"/>
      <w:jc w:val="left"/>
    </w:pPr>
    <w:rPr>
      <w:kern w:val="0"/>
      <w:sz w:val="18"/>
      <w:szCs w:val="18"/>
    </w:rPr>
  </w:style>
  <w:style w:type="paragraph" w:styleId="16">
    <w:name w:val="toc 2"/>
    <w:basedOn w:val="1"/>
    <w:next w:val="1"/>
    <w:semiHidden/>
    <w:qFormat/>
    <w:uiPriority w:val="99"/>
    <w:pPr>
      <w:ind w:left="420" w:leftChars="200"/>
    </w:pPr>
  </w:style>
  <w:style w:type="paragraph" w:styleId="17">
    <w:name w:val="toc 9"/>
    <w:basedOn w:val="1"/>
    <w:next w:val="1"/>
    <w:semiHidden/>
    <w:qFormat/>
    <w:uiPriority w:val="99"/>
    <w:pPr>
      <w:widowControl/>
      <w:wordWrap w:val="0"/>
      <w:ind w:left="2975"/>
    </w:pPr>
    <w:rPr>
      <w:rFonts w:ascii="宋体" w:hAnsi="宋体" w:cs="宋体"/>
      <w:kern w:val="0"/>
    </w:rPr>
  </w:style>
  <w:style w:type="paragraph" w:styleId="18">
    <w:name w:val="Normal (Web)"/>
    <w:basedOn w:val="1"/>
    <w:qFormat/>
    <w:uiPriority w:val="99"/>
    <w:pPr>
      <w:jc w:val="left"/>
    </w:pPr>
    <w:rPr>
      <w:kern w:val="0"/>
      <w:sz w:val="24"/>
      <w:szCs w:val="24"/>
    </w:rPr>
  </w:style>
  <w:style w:type="paragraph" w:styleId="19">
    <w:name w:val="annotation subject"/>
    <w:basedOn w:val="5"/>
    <w:next w:val="5"/>
    <w:link w:val="35"/>
    <w:semiHidden/>
    <w:qFormat/>
    <w:uiPriority w:val="99"/>
    <w:rPr>
      <w:rFonts w:ascii="Calibri" w:hAnsi="Calibri" w:cs="Calibri"/>
      <w:b/>
      <w:bCs/>
      <w:sz w:val="24"/>
      <w:szCs w:val="24"/>
    </w:rPr>
  </w:style>
  <w:style w:type="table" w:styleId="21">
    <w:name w:val="Table Grid"/>
    <w:basedOn w:val="20"/>
    <w:qFormat/>
    <w:uiPriority w:val="99"/>
    <w:pPr>
      <w:widowControl w:val="0"/>
      <w:jc w:val="both"/>
    </w:pPr>
    <w:rPr>
      <w:rFonts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qFormat/>
    <w:uiPriority w:val="99"/>
    <w:rPr>
      <w:b/>
      <w:bCs/>
    </w:rPr>
  </w:style>
  <w:style w:type="character" w:styleId="24">
    <w:name w:val="page number"/>
    <w:basedOn w:val="22"/>
    <w:qFormat/>
    <w:uiPriority w:val="99"/>
  </w:style>
  <w:style w:type="character" w:styleId="25">
    <w:name w:val="FollowedHyperlink"/>
    <w:qFormat/>
    <w:uiPriority w:val="99"/>
    <w:rPr>
      <w:color w:val="800080"/>
      <w:u w:val="none"/>
    </w:rPr>
  </w:style>
  <w:style w:type="character" w:styleId="26">
    <w:name w:val="Emphasis"/>
    <w:qFormat/>
    <w:uiPriority w:val="99"/>
    <w:rPr>
      <w:i/>
      <w:iCs/>
    </w:rPr>
  </w:style>
  <w:style w:type="character" w:styleId="27">
    <w:name w:val="HTML Variable"/>
    <w:qFormat/>
    <w:uiPriority w:val="99"/>
    <w:rPr>
      <w:i/>
      <w:iCs/>
    </w:rPr>
  </w:style>
  <w:style w:type="character" w:styleId="28">
    <w:name w:val="Hyperlink"/>
    <w:qFormat/>
    <w:uiPriority w:val="99"/>
    <w:rPr>
      <w:color w:val="0000FF"/>
      <w:u w:val="single"/>
    </w:rPr>
  </w:style>
  <w:style w:type="character" w:styleId="29">
    <w:name w:val="HTML Code"/>
    <w:qFormat/>
    <w:uiPriority w:val="99"/>
    <w:rPr>
      <w:rFonts w:ascii="Courier New" w:hAnsi="Courier New" w:cs="Courier New"/>
      <w:sz w:val="20"/>
      <w:szCs w:val="20"/>
    </w:rPr>
  </w:style>
  <w:style w:type="character" w:styleId="30">
    <w:name w:val="annotation reference"/>
    <w:semiHidden/>
    <w:qFormat/>
    <w:uiPriority w:val="99"/>
    <w:rPr>
      <w:sz w:val="21"/>
      <w:szCs w:val="21"/>
    </w:rPr>
  </w:style>
  <w:style w:type="character" w:styleId="31">
    <w:name w:val="HTML Cite"/>
    <w:qFormat/>
    <w:uiPriority w:val="99"/>
    <w:rPr>
      <w:i/>
      <w:iCs/>
    </w:rPr>
  </w:style>
  <w:style w:type="character" w:styleId="32">
    <w:name w:val="footnote reference"/>
    <w:semiHidden/>
    <w:qFormat/>
    <w:uiPriority w:val="99"/>
    <w:rPr>
      <w:vertAlign w:val="superscript"/>
    </w:rPr>
  </w:style>
  <w:style w:type="character" w:customStyle="1" w:styleId="33">
    <w:name w:val="标题 1 Char"/>
    <w:link w:val="2"/>
    <w:qFormat/>
    <w:locked/>
    <w:uiPriority w:val="99"/>
    <w:rPr>
      <w:rFonts w:ascii="黑体" w:eastAsia="黑体" w:cs="黑体"/>
      <w:b/>
      <w:bCs/>
      <w:kern w:val="44"/>
      <w:sz w:val="28"/>
      <w:szCs w:val="28"/>
      <w:lang w:val="en-US" w:eastAsia="zh-CN"/>
    </w:rPr>
  </w:style>
  <w:style w:type="character" w:customStyle="1" w:styleId="34">
    <w:name w:val="批注文字 Char"/>
    <w:link w:val="5"/>
    <w:qFormat/>
    <w:locked/>
    <w:uiPriority w:val="99"/>
    <w:rPr>
      <w:rFonts w:eastAsia="宋体"/>
      <w:kern w:val="2"/>
      <w:sz w:val="21"/>
      <w:szCs w:val="21"/>
      <w:lang w:val="en-US" w:eastAsia="zh-CN"/>
    </w:rPr>
  </w:style>
  <w:style w:type="character" w:customStyle="1" w:styleId="35">
    <w:name w:val="批注主题 Char"/>
    <w:link w:val="19"/>
    <w:semiHidden/>
    <w:qFormat/>
    <w:locked/>
    <w:uiPriority w:val="99"/>
    <w:rPr>
      <w:rFonts w:ascii="Calibri" w:hAnsi="Calibri" w:eastAsia="宋体" w:cs="Calibri"/>
      <w:b/>
      <w:bCs/>
      <w:kern w:val="2"/>
      <w:sz w:val="24"/>
      <w:szCs w:val="24"/>
      <w:lang w:val="en-US" w:eastAsia="zh-CN"/>
    </w:rPr>
  </w:style>
  <w:style w:type="character" w:customStyle="1" w:styleId="36">
    <w:name w:val="文档结构图 Char"/>
    <w:link w:val="4"/>
    <w:semiHidden/>
    <w:qFormat/>
    <w:locked/>
    <w:uiPriority w:val="99"/>
    <w:rPr>
      <w:sz w:val="2"/>
      <w:szCs w:val="2"/>
    </w:rPr>
  </w:style>
  <w:style w:type="character" w:customStyle="1" w:styleId="37">
    <w:name w:val="Plain Text Char"/>
    <w:qFormat/>
    <w:locked/>
    <w:uiPriority w:val="99"/>
    <w:rPr>
      <w:rFonts w:ascii="宋体" w:hAnsi="Courier New" w:eastAsia="宋体" w:cs="宋体"/>
      <w:kern w:val="2"/>
      <w:sz w:val="21"/>
      <w:szCs w:val="21"/>
      <w:lang w:val="en-US" w:eastAsia="zh-CN"/>
    </w:rPr>
  </w:style>
  <w:style w:type="character" w:customStyle="1" w:styleId="38">
    <w:name w:val="日期 Char"/>
    <w:link w:val="9"/>
    <w:semiHidden/>
    <w:qFormat/>
    <w:locked/>
    <w:uiPriority w:val="99"/>
    <w:rPr>
      <w:rFonts w:ascii="Calibri" w:hAnsi="Calibri" w:cs="Calibri"/>
      <w:sz w:val="21"/>
      <w:szCs w:val="21"/>
    </w:rPr>
  </w:style>
  <w:style w:type="character" w:customStyle="1" w:styleId="39">
    <w:name w:val="批注框文本 Char"/>
    <w:link w:val="10"/>
    <w:semiHidden/>
    <w:qFormat/>
    <w:locked/>
    <w:uiPriority w:val="99"/>
    <w:rPr>
      <w:rFonts w:ascii="Calibri" w:hAnsi="Calibri" w:cs="Calibri"/>
      <w:sz w:val="2"/>
      <w:szCs w:val="2"/>
    </w:rPr>
  </w:style>
  <w:style w:type="character" w:customStyle="1" w:styleId="40">
    <w:name w:val="页脚 Char"/>
    <w:link w:val="11"/>
    <w:semiHidden/>
    <w:qFormat/>
    <w:locked/>
    <w:uiPriority w:val="99"/>
    <w:rPr>
      <w:rFonts w:eastAsia="宋体"/>
      <w:kern w:val="2"/>
      <w:sz w:val="18"/>
      <w:szCs w:val="18"/>
      <w:lang w:val="en-US" w:eastAsia="zh-CN"/>
    </w:rPr>
  </w:style>
  <w:style w:type="character" w:customStyle="1" w:styleId="41">
    <w:name w:val="页眉 Char"/>
    <w:link w:val="12"/>
    <w:semiHidden/>
    <w:qFormat/>
    <w:locked/>
    <w:uiPriority w:val="99"/>
    <w:rPr>
      <w:rFonts w:eastAsia="宋体"/>
      <w:kern w:val="2"/>
      <w:sz w:val="18"/>
      <w:szCs w:val="18"/>
      <w:lang w:val="en-US" w:eastAsia="zh-CN"/>
    </w:rPr>
  </w:style>
  <w:style w:type="character" w:customStyle="1" w:styleId="42">
    <w:name w:val="脚注文本 Char"/>
    <w:link w:val="15"/>
    <w:semiHidden/>
    <w:qFormat/>
    <w:locked/>
    <w:uiPriority w:val="99"/>
    <w:rPr>
      <w:rFonts w:ascii="Calibri" w:hAnsi="Calibri" w:cs="Calibri"/>
      <w:sz w:val="18"/>
      <w:szCs w:val="18"/>
    </w:rPr>
  </w:style>
  <w:style w:type="character" w:customStyle="1" w:styleId="43">
    <w:name w:val="15"/>
    <w:qFormat/>
    <w:uiPriority w:val="99"/>
    <w:rPr>
      <w:rFonts w:ascii="MingLiUfalt" w:hAnsi="MingLiUfalt" w:eastAsia="MingLiUfalt" w:cs="MingLiUfalt"/>
      <w:spacing w:val="130"/>
      <w:sz w:val="22"/>
      <w:szCs w:val="22"/>
      <w:shd w:val="clear" w:color="auto" w:fill="FFFFFF"/>
    </w:rPr>
  </w:style>
  <w:style w:type="character" w:customStyle="1" w:styleId="44">
    <w:name w:val="16"/>
    <w:qFormat/>
    <w:uiPriority w:val="99"/>
    <w:rPr>
      <w:rFonts w:ascii="MingLiUfalt" w:hAnsi="MingLiUfalt" w:eastAsia="MingLiUfalt" w:cs="MingLiUfalt"/>
      <w:sz w:val="22"/>
      <w:szCs w:val="22"/>
      <w:shd w:val="clear" w:color="auto" w:fill="FFFFFF"/>
    </w:rPr>
  </w:style>
  <w:style w:type="character" w:customStyle="1" w:styleId="45">
    <w:name w:val="纯文本 Char"/>
    <w:link w:val="8"/>
    <w:qFormat/>
    <w:locked/>
    <w:uiPriority w:val="99"/>
    <w:rPr>
      <w:rFonts w:ascii="宋体" w:hAnsi="Courier New" w:eastAsia="宋体" w:cs="宋体"/>
      <w:kern w:val="2"/>
      <w:sz w:val="21"/>
      <w:szCs w:val="21"/>
      <w:lang w:val="en-US" w:eastAsia="zh-CN"/>
    </w:rPr>
  </w:style>
  <w:style w:type="paragraph" w:customStyle="1" w:styleId="46">
    <w:name w:val="Char Char Char1 Char"/>
    <w:basedOn w:val="1"/>
    <w:qFormat/>
    <w:uiPriority w:val="99"/>
    <w:pPr>
      <w:widowControl/>
      <w:spacing w:after="160" w:line="240" w:lineRule="exact"/>
      <w:jc w:val="left"/>
    </w:pPr>
  </w:style>
  <w:style w:type="paragraph" w:customStyle="1" w:styleId="47">
    <w:name w:val="正文文本 (2)"/>
    <w:basedOn w:val="1"/>
    <w:link w:val="56"/>
    <w:qFormat/>
    <w:uiPriority w:val="99"/>
    <w:pPr>
      <w:shd w:val="clear" w:color="auto" w:fill="FFFFFF"/>
      <w:spacing w:before="420" w:after="100" w:afterAutospacing="1" w:line="398" w:lineRule="exact"/>
      <w:jc w:val="distribute"/>
    </w:pPr>
    <w:rPr>
      <w:rFonts w:ascii="MingLiUfalt" w:hAnsi="MingLiUfalt" w:eastAsia="MingLiUfalt" w:cs="MingLiUfalt"/>
      <w:kern w:val="0"/>
      <w:sz w:val="22"/>
      <w:szCs w:val="22"/>
    </w:rPr>
  </w:style>
  <w:style w:type="paragraph" w:customStyle="1" w:styleId="48">
    <w:name w:val="Char Char1 Char Char 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49">
    <w:name w:val="列表段落1"/>
    <w:basedOn w:val="1"/>
    <w:qFormat/>
    <w:uiPriority w:val="99"/>
    <w:pPr>
      <w:ind w:firstLine="420" w:firstLineChars="200"/>
    </w:pPr>
  </w:style>
  <w:style w:type="paragraph" w:customStyle="1" w:styleId="50">
    <w:name w:val="Default"/>
    <w:next w:val="17"/>
    <w:qFormat/>
    <w:uiPriority w:val="99"/>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51">
    <w:name w:val="Char Char Char 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52">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3">
    <w:name w:val="Char1"/>
    <w:basedOn w:val="1"/>
    <w:qFormat/>
    <w:uiPriority w:val="99"/>
    <w:rPr>
      <w:sz w:val="24"/>
      <w:szCs w:val="24"/>
    </w:rPr>
  </w:style>
  <w:style w:type="paragraph" w:customStyle="1" w:styleId="54">
    <w:name w:val="Char Char Char Char1"/>
    <w:basedOn w:val="1"/>
    <w:qFormat/>
    <w:uiPriority w:val="99"/>
    <w:pPr>
      <w:spacing w:before="100" w:beforeAutospacing="1" w:after="100" w:afterAutospacing="1"/>
    </w:pPr>
  </w:style>
  <w:style w:type="character" w:customStyle="1" w:styleId="55">
    <w:name w:val="未处理的提及1"/>
    <w:semiHidden/>
    <w:qFormat/>
    <w:uiPriority w:val="99"/>
    <w:rPr>
      <w:color w:val="auto"/>
      <w:shd w:val="clear" w:color="auto" w:fill="auto"/>
    </w:rPr>
  </w:style>
  <w:style w:type="character" w:customStyle="1" w:styleId="56">
    <w:name w:val="正文文本 (2)_"/>
    <w:link w:val="47"/>
    <w:qFormat/>
    <w:locked/>
    <w:uiPriority w:val="99"/>
    <w:rPr>
      <w:rFonts w:ascii="MingLiUfalt" w:hAnsi="MingLiUfalt" w:eastAsia="MingLiUfalt" w:cs="MingLiUfalt"/>
      <w:kern w:val="0"/>
      <w:sz w:val="22"/>
      <w:szCs w:val="22"/>
    </w:rPr>
  </w:style>
  <w:style w:type="character" w:customStyle="1" w:styleId="57">
    <w:name w:val="正文文本 (2) + 间距 6 pt"/>
    <w:qFormat/>
    <w:uiPriority w:val="99"/>
    <w:rPr>
      <w:rFonts w:ascii="MingLiUfalt" w:hAnsi="MingLiUfalt" w:eastAsia="MingLiUfalt" w:cs="MingLiUfalt"/>
      <w:spacing w:val="130"/>
      <w:sz w:val="22"/>
      <w:szCs w:val="22"/>
      <w:shd w:val="clear" w:color="auto" w:fill="FFFFFF"/>
    </w:rPr>
  </w:style>
  <w:style w:type="paragraph" w:customStyle="1" w:styleId="58">
    <w:name w:val="_Style 50"/>
    <w:basedOn w:val="1"/>
    <w:next w:val="1"/>
    <w:qFormat/>
    <w:uiPriority w:val="99"/>
    <w:pPr>
      <w:pBdr>
        <w:bottom w:val="single" w:color="auto" w:sz="6" w:space="1"/>
      </w:pBdr>
      <w:jc w:val="center"/>
    </w:pPr>
    <w:rPr>
      <w:rFonts w:ascii="Arial" w:cs="Arial"/>
      <w:vanish/>
      <w:sz w:val="16"/>
      <w:szCs w:val="16"/>
    </w:rPr>
  </w:style>
  <w:style w:type="paragraph" w:customStyle="1" w:styleId="59">
    <w:name w:val="_Style 51"/>
    <w:basedOn w:val="1"/>
    <w:next w:val="1"/>
    <w:qFormat/>
    <w:uiPriority w:val="99"/>
    <w:pPr>
      <w:pBdr>
        <w:top w:val="single" w:color="auto" w:sz="6" w:space="1"/>
      </w:pBdr>
      <w:jc w:val="center"/>
    </w:pPr>
    <w:rPr>
      <w:rFonts w:ascii="Arial" w:cs="Arial"/>
      <w:vanish/>
      <w:sz w:val="16"/>
      <w:szCs w:val="16"/>
    </w:rPr>
  </w:style>
  <w:style w:type="paragraph" w:customStyle="1" w:styleId="60">
    <w:name w:val="Body text|22"/>
    <w:basedOn w:val="1"/>
    <w:qFormat/>
    <w:uiPriority w:val="99"/>
    <w:pPr>
      <w:shd w:val="clear" w:color="auto" w:fill="FFFFFF"/>
      <w:spacing w:before="180" w:after="300" w:line="220" w:lineRule="exact"/>
      <w:ind w:hanging="520"/>
      <w:jc w:val="center"/>
    </w:pPr>
    <w:rPr>
      <w:rFonts w:ascii="PMingLiU" w:hAnsi="PMingLiU" w:eastAsia="PMingLiU" w:cs="PMingLiU"/>
      <w:sz w:val="22"/>
      <w:szCs w:val="22"/>
    </w:rPr>
  </w:style>
  <w:style w:type="paragraph" w:customStyle="1" w:styleId="61">
    <w:name w:val="Heading #6|2"/>
    <w:basedOn w:val="1"/>
    <w:qFormat/>
    <w:uiPriority w:val="99"/>
    <w:pPr>
      <w:shd w:val="clear" w:color="auto" w:fill="FFFFFF"/>
      <w:spacing w:line="300" w:lineRule="exact"/>
      <w:jc w:val="center"/>
      <w:outlineLvl w:val="5"/>
    </w:pPr>
    <w:rPr>
      <w:rFonts w:ascii="PMingLiU" w:hAnsi="PMingLiU" w:eastAsia="PMingLiU" w:cs="PMingLiU"/>
      <w:spacing w:val="30"/>
      <w:sz w:val="30"/>
      <w:szCs w:val="30"/>
    </w:rPr>
  </w:style>
  <w:style w:type="paragraph" w:customStyle="1" w:styleId="62">
    <w:name w:val="Body text|8"/>
    <w:basedOn w:val="1"/>
    <w:qFormat/>
    <w:uiPriority w:val="99"/>
    <w:pPr>
      <w:shd w:val="clear" w:color="auto" w:fill="FFFFFF"/>
      <w:spacing w:before="960" w:after="340" w:line="260" w:lineRule="exact"/>
      <w:ind w:hanging="820"/>
      <w:jc w:val="distribute"/>
    </w:pPr>
    <w:rPr>
      <w:rFonts w:ascii="PMingLiU" w:hAnsi="PMingLiU" w:eastAsia="PMingLiU" w:cs="PMingLiU"/>
      <w:spacing w:val="30"/>
      <w:sz w:val="26"/>
      <w:szCs w:val="26"/>
    </w:rPr>
  </w:style>
  <w:style w:type="character" w:customStyle="1" w:styleId="63">
    <w:name w:val="Body text|8 + Spacing 1 pt"/>
    <w:qFormat/>
    <w:uiPriority w:val="99"/>
    <w:rPr>
      <w:rFonts w:ascii="PMingLiU" w:hAnsi="PMingLiU" w:eastAsia="PMingLiU" w:cs="PMingLiU"/>
      <w:color w:val="000000"/>
      <w:spacing w:val="20"/>
      <w:w w:val="100"/>
      <w:position w:val="0"/>
      <w:sz w:val="26"/>
      <w:szCs w:val="26"/>
      <w:u w:val="none"/>
      <w:lang w:val="zh-CN" w:eastAsia="zh-CN"/>
    </w:rPr>
  </w:style>
  <w:style w:type="paragraph" w:customStyle="1" w:styleId="64">
    <w:name w:val="Heading #9|1"/>
    <w:basedOn w:val="1"/>
    <w:qFormat/>
    <w:uiPriority w:val="99"/>
    <w:pPr>
      <w:shd w:val="clear" w:color="auto" w:fill="FFFFFF"/>
      <w:spacing w:line="559" w:lineRule="exact"/>
      <w:outlineLvl w:val="8"/>
    </w:pPr>
    <w:rPr>
      <w:rFonts w:ascii="PMingLiU" w:hAnsi="PMingLiU" w:eastAsia="PMingLiU" w:cs="PMingLiU"/>
      <w:b/>
      <w:bCs/>
      <w:spacing w:val="10"/>
      <w:sz w:val="22"/>
      <w:szCs w:val="22"/>
    </w:rPr>
  </w:style>
  <w:style w:type="character" w:customStyle="1" w:styleId="65">
    <w:name w:val="Body text|2 + Times New Roman10"/>
    <w:qFormat/>
    <w:uiPriority w:val="99"/>
    <w:rPr>
      <w:rFonts w:ascii="Times New Roman" w:hAnsi="Times New Roman" w:eastAsia="PMingLiU" w:cs="Times New Roman"/>
      <w:color w:val="000000"/>
      <w:spacing w:val="0"/>
      <w:w w:val="100"/>
      <w:position w:val="0"/>
      <w:sz w:val="22"/>
      <w:szCs w:val="22"/>
      <w:u w:val="none"/>
      <w:lang w:val="en-US" w:eastAsia="en-US"/>
    </w:rPr>
  </w:style>
  <w:style w:type="character" w:customStyle="1" w:styleId="66">
    <w:name w:val="Body text|2 + Times New Roman8"/>
    <w:qFormat/>
    <w:uiPriority w:val="99"/>
    <w:rPr>
      <w:rFonts w:ascii="Times New Roman" w:hAnsi="Times New Roman" w:eastAsia="PMingLiU" w:cs="Times New Roman"/>
      <w:b/>
      <w:bCs/>
      <w:color w:val="000000"/>
      <w:spacing w:val="0"/>
      <w:w w:val="100"/>
      <w:position w:val="0"/>
      <w:sz w:val="15"/>
      <w:szCs w:val="15"/>
      <w:u w:val="none"/>
      <w:lang w:val="en-US" w:eastAsia="en-US"/>
    </w:rPr>
  </w:style>
  <w:style w:type="character" w:customStyle="1" w:styleId="67">
    <w:name w:val="Body text|2 + Times New Roman4"/>
    <w:qFormat/>
    <w:uiPriority w:val="99"/>
    <w:rPr>
      <w:rFonts w:ascii="Times New Roman" w:hAnsi="Times New Roman" w:eastAsia="PMingLiU" w:cs="Times New Roman"/>
      <w:color w:val="000000"/>
      <w:spacing w:val="0"/>
      <w:w w:val="100"/>
      <w:position w:val="0"/>
      <w:sz w:val="24"/>
      <w:szCs w:val="24"/>
      <w:u w:val="none"/>
      <w:lang w:val="en-US" w:eastAsia="en-US"/>
    </w:rPr>
  </w:style>
  <w:style w:type="character" w:customStyle="1" w:styleId="68">
    <w:name w:val="Body text|2 + Times New Roman1"/>
    <w:qFormat/>
    <w:uiPriority w:val="99"/>
    <w:rPr>
      <w:rFonts w:ascii="Times New Roman" w:hAnsi="Times New Roman" w:eastAsia="PMingLiU" w:cs="Times New Roman"/>
      <w:b/>
      <w:bCs/>
      <w:color w:val="000000"/>
      <w:spacing w:val="0"/>
      <w:w w:val="100"/>
      <w:position w:val="0"/>
      <w:sz w:val="16"/>
      <w:szCs w:val="16"/>
      <w:u w:val="none"/>
      <w:lang w:val="en-US" w:eastAsia="en-US"/>
    </w:rPr>
  </w:style>
  <w:style w:type="paragraph" w:customStyle="1" w:styleId="69">
    <w:name w:val="Body text|7"/>
    <w:basedOn w:val="1"/>
    <w:qFormat/>
    <w:uiPriority w:val="99"/>
    <w:pPr>
      <w:shd w:val="clear" w:color="auto" w:fill="FFFFFF"/>
      <w:spacing w:before="300" w:line="454" w:lineRule="exact"/>
      <w:jc w:val="distribute"/>
    </w:pPr>
    <w:rPr>
      <w:rFonts w:ascii="PMingLiU" w:hAnsi="PMingLiU" w:eastAsia="PMingLiU" w:cs="PMingLiU"/>
      <w:b/>
      <w:bCs/>
      <w:spacing w:val="10"/>
      <w:sz w:val="22"/>
      <w:szCs w:val="22"/>
    </w:rPr>
  </w:style>
  <w:style w:type="paragraph" w:customStyle="1" w:styleId="70">
    <w:name w:val="Heading #8|1"/>
    <w:basedOn w:val="1"/>
    <w:qFormat/>
    <w:uiPriority w:val="99"/>
    <w:pPr>
      <w:shd w:val="clear" w:color="auto" w:fill="FFFFFF"/>
      <w:spacing w:before="460" w:after="780" w:line="260" w:lineRule="exact"/>
      <w:jc w:val="distribute"/>
      <w:outlineLvl w:val="7"/>
    </w:pPr>
    <w:rPr>
      <w:rFonts w:ascii="PMingLiU" w:hAnsi="PMingLiU" w:eastAsia="PMingLiU" w:cs="PMingLiU"/>
      <w:spacing w:val="30"/>
      <w:sz w:val="26"/>
      <w:szCs w:val="26"/>
    </w:rPr>
  </w:style>
  <w:style w:type="character" w:customStyle="1" w:styleId="71">
    <w:name w:val="Heading #8|1 + Spacing 1 pt"/>
    <w:qFormat/>
    <w:uiPriority w:val="99"/>
    <w:rPr>
      <w:rFonts w:ascii="PMingLiU" w:hAnsi="PMingLiU" w:eastAsia="PMingLiU" w:cs="PMingLiU"/>
      <w:color w:val="000000"/>
      <w:spacing w:val="20"/>
      <w:w w:val="100"/>
      <w:position w:val="0"/>
      <w:sz w:val="26"/>
      <w:szCs w:val="26"/>
      <w:u w:val="none"/>
      <w:lang w:val="zh-CN" w:eastAsia="zh-CN"/>
    </w:rPr>
  </w:style>
  <w:style w:type="character" w:customStyle="1" w:styleId="72">
    <w:name w:val="Body text|7 + 13 pt1"/>
    <w:qFormat/>
    <w:uiPriority w:val="99"/>
    <w:rPr>
      <w:rFonts w:ascii="PMingLiU" w:hAnsi="PMingLiU" w:eastAsia="PMingLiU" w:cs="PMingLiU"/>
      <w:b/>
      <w:bCs/>
      <w:color w:val="000000"/>
      <w:spacing w:val="20"/>
      <w:w w:val="100"/>
      <w:position w:val="0"/>
      <w:sz w:val="26"/>
      <w:szCs w:val="26"/>
      <w:u w:val="none"/>
      <w:lang w:val="zh-CN" w:eastAsia="zh-CN"/>
    </w:rPr>
  </w:style>
  <w:style w:type="character" w:customStyle="1" w:styleId="73">
    <w:name w:val="Body text|8 + 11 pt"/>
    <w:qFormat/>
    <w:uiPriority w:val="99"/>
    <w:rPr>
      <w:rFonts w:ascii="PMingLiU" w:hAnsi="PMingLiU" w:eastAsia="PMingLiU" w:cs="PMingLiU"/>
      <w:b/>
      <w:bCs/>
      <w:color w:val="000000"/>
      <w:spacing w:val="10"/>
      <w:w w:val="100"/>
      <w:position w:val="0"/>
      <w:sz w:val="22"/>
      <w:szCs w:val="22"/>
      <w:u w:val="none"/>
      <w:lang w:val="zh-CN" w:eastAsia="zh-CN"/>
    </w:rPr>
  </w:style>
  <w:style w:type="paragraph" w:customStyle="1" w:styleId="74">
    <w:name w:val="Header or footer|11"/>
    <w:basedOn w:val="1"/>
    <w:qFormat/>
    <w:uiPriority w:val="99"/>
    <w:pPr>
      <w:shd w:val="clear" w:color="auto" w:fill="FFFFFF"/>
      <w:spacing w:line="200" w:lineRule="exact"/>
    </w:pPr>
    <w:rPr>
      <w:rFonts w:ascii="PMingLiU" w:hAnsi="PMingLiU" w:eastAsia="PMingLiU" w:cs="PMingLiU"/>
      <w:b/>
      <w:bCs/>
      <w:sz w:val="20"/>
      <w:szCs w:val="20"/>
    </w:rPr>
  </w:style>
  <w:style w:type="character" w:customStyle="1" w:styleId="75">
    <w:name w:val="Header or footer|1 + Times New Roman"/>
    <w:qFormat/>
    <w:uiPriority w:val="99"/>
    <w:rPr>
      <w:rFonts w:ascii="Times New Roman" w:hAnsi="Times New Roman" w:eastAsia="PMingLiU" w:cs="Times New Roman"/>
      <w:b/>
      <w:bCs/>
      <w:color w:val="000000"/>
      <w:spacing w:val="0"/>
      <w:w w:val="100"/>
      <w:position w:val="0"/>
      <w:sz w:val="17"/>
      <w:szCs w:val="17"/>
      <w:u w:val="none"/>
      <w:lang w:val="zh-CN" w:eastAsia="zh-CN"/>
    </w:rPr>
  </w:style>
  <w:style w:type="character" w:customStyle="1" w:styleId="76">
    <w:name w:val="Header or footer|1"/>
    <w:qFormat/>
    <w:uiPriority w:val="99"/>
    <w:rPr>
      <w:rFonts w:ascii="PMingLiU" w:hAnsi="PMingLiU" w:eastAsia="PMingLiU" w:cs="PMingLiU"/>
      <w:b/>
      <w:bCs/>
      <w:color w:val="000000"/>
      <w:spacing w:val="0"/>
      <w:w w:val="100"/>
      <w:position w:val="0"/>
      <w:sz w:val="20"/>
      <w:szCs w:val="20"/>
      <w:u w:val="none"/>
      <w:lang w:val="zh-CN" w:eastAsia="zh-CN"/>
    </w:rPr>
  </w:style>
  <w:style w:type="character" w:customStyle="1" w:styleId="77">
    <w:name w:val="Header or footer|1 + Times New Roman1"/>
    <w:qFormat/>
    <w:uiPriority w:val="99"/>
    <w:rPr>
      <w:rFonts w:ascii="Times New Roman" w:hAnsi="Times New Roman" w:eastAsia="PMingLiU" w:cs="Times New Roman"/>
      <w:b/>
      <w:bCs/>
      <w:color w:val="000000"/>
      <w:spacing w:val="0"/>
      <w:w w:val="100"/>
      <w:position w:val="0"/>
      <w:sz w:val="17"/>
      <w:szCs w:val="17"/>
      <w:u w:val="none"/>
      <w:lang w:val="zh-CN" w:eastAsia="zh-CN"/>
    </w:rPr>
  </w:style>
  <w:style w:type="character" w:customStyle="1" w:styleId="78">
    <w:name w:val="Body text|15 + PMingLiU"/>
    <w:qFormat/>
    <w:uiPriority w:val="99"/>
    <w:rPr>
      <w:rFonts w:ascii="PMingLiU" w:hAnsi="PMingLiU" w:eastAsia="PMingLiU" w:cs="PMingLiU"/>
      <w:color w:val="000000"/>
      <w:spacing w:val="0"/>
      <w:w w:val="100"/>
      <w:position w:val="0"/>
      <w:sz w:val="22"/>
      <w:szCs w:val="22"/>
      <w:u w:val="none"/>
      <w:lang w:val="zh-CN" w:eastAsia="zh-CN"/>
    </w:rPr>
  </w:style>
  <w:style w:type="character" w:customStyle="1" w:styleId="79">
    <w:name w:val="Body text|2 + Spacing 2 pt"/>
    <w:qFormat/>
    <w:uiPriority w:val="99"/>
    <w:rPr>
      <w:rFonts w:ascii="PMingLiU" w:hAnsi="PMingLiU" w:eastAsia="PMingLiU" w:cs="PMingLiU"/>
      <w:color w:val="000000"/>
      <w:spacing w:val="40"/>
      <w:w w:val="100"/>
      <w:position w:val="0"/>
      <w:sz w:val="22"/>
      <w:szCs w:val="22"/>
      <w:u w:val="none"/>
      <w:lang w:val="zh-CN" w:eastAsia="zh-CN"/>
    </w:rPr>
  </w:style>
  <w:style w:type="character" w:customStyle="1" w:styleId="80">
    <w:name w:val="Body text|2 + 10 pt1"/>
    <w:qFormat/>
    <w:uiPriority w:val="99"/>
    <w:rPr>
      <w:rFonts w:ascii="PMingLiU" w:hAnsi="PMingLiU" w:eastAsia="PMingLiU" w:cs="PMingLiU"/>
      <w:color w:val="000000"/>
      <w:spacing w:val="0"/>
      <w:w w:val="100"/>
      <w:position w:val="0"/>
      <w:sz w:val="20"/>
      <w:szCs w:val="20"/>
      <w:u w:val="none"/>
      <w:lang w:val="zh-CN" w:eastAsia="zh-CN"/>
    </w:rPr>
  </w:style>
  <w:style w:type="character" w:customStyle="1" w:styleId="81">
    <w:name w:val="Body text|2 + Bold2"/>
    <w:qFormat/>
    <w:uiPriority w:val="99"/>
    <w:rPr>
      <w:rFonts w:ascii="PMingLiU" w:hAnsi="PMingLiU" w:eastAsia="PMingLiU" w:cs="PMingLiU"/>
      <w:b/>
      <w:bCs/>
      <w:color w:val="000000"/>
      <w:spacing w:val="0"/>
      <w:w w:val="100"/>
      <w:position w:val="0"/>
      <w:sz w:val="22"/>
      <w:szCs w:val="22"/>
      <w:u w:val="none"/>
      <w:lang w:val="zh-CN" w:eastAsia="zh-CN"/>
    </w:rPr>
  </w:style>
  <w:style w:type="character" w:customStyle="1" w:styleId="82">
    <w:name w:val="Body text|2 + SimSun"/>
    <w:qFormat/>
    <w:uiPriority w:val="99"/>
    <w:rPr>
      <w:rFonts w:ascii="宋体" w:hAnsi="宋体" w:eastAsia="宋体" w:cs="宋体"/>
      <w:color w:val="000000"/>
      <w:spacing w:val="0"/>
      <w:w w:val="100"/>
      <w:position w:val="0"/>
      <w:sz w:val="24"/>
      <w:szCs w:val="24"/>
      <w:u w:val="none"/>
      <w:lang w:val="en-US" w:eastAsia="en-US"/>
    </w:rPr>
  </w:style>
  <w:style w:type="character" w:customStyle="1" w:styleId="83">
    <w:name w:val="Body text|2 + Times New Roman"/>
    <w:qFormat/>
    <w:uiPriority w:val="99"/>
    <w:rPr>
      <w:rFonts w:ascii="Times New Roman" w:hAnsi="Times New Roman" w:eastAsia="PMingLiU" w:cs="Times New Roman"/>
      <w:smallCaps/>
      <w:color w:val="000000"/>
      <w:spacing w:val="0"/>
      <w:w w:val="100"/>
      <w:position w:val="0"/>
      <w:sz w:val="22"/>
      <w:szCs w:val="22"/>
      <w:u w:val="none"/>
      <w:lang w:val="en-US"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3086"/>
    <customShpInfo spid="_x0000_s1026"/>
    <customShpInfo spid="_x0000_s3084"/>
    <customShpInfo spid="_x0000_s3083"/>
    <customShpInfo spid="_x0000_s3085"/>
    <customShpInfo spid="_x0000_s3082"/>
    <customShpInfo spid="_x0000_s3080"/>
    <customShpInfo spid="_x0000_s3079"/>
    <customShpInfo spid="_x0000_s3081"/>
    <customShpInfo spid="_x0000_s3078"/>
    <customShpInfo spid="_x0000_s3076"/>
    <customShpInfo spid="_x0000_s3075"/>
    <customShpInfo spid="_x0000_s3077"/>
    <customShpInfo spid="_x0000_s3074"/>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118</Pages>
  <Words>61864</Words>
  <Characters>66578</Characters>
  <Lines>508</Lines>
  <Paragraphs>143</Paragraphs>
  <TotalTime>40</TotalTime>
  <ScaleCrop>false</ScaleCrop>
  <LinksUpToDate>false</LinksUpToDate>
  <CharactersWithSpaces>67459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2022-04-21T03:05:00Z</dcterms:created>
  <dc:creator>Administrator</dc:creator>
  <cp:lastModifiedBy>宝贝儿^O^丫头</cp:lastModifiedBy>
  <cp:lastPrinted>2018-07-10T01:02:00Z</cp:lastPrinted>
  <dcterms:modified xsi:type="dcterms:W3CDTF">2022-04-27T08:09:33Z</dcterms:modified>
  <dc:title>中华人民共和国交通运输部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27DBBD0A5DAE49039FF4611DF6A05B59</vt:lpwstr>
  </property>
  <property fmtid="{D5CDD505-2E9C-101B-9397-08002B2CF9AE}" pid="4" name="commondata">
    <vt:lpwstr>eyJoZGlkIjoiOWQ1ZGJkZjM0ZDVjOGYzZjhlMmUxZWQ1Nzg0OTIwMjcifQ==</vt:lpwstr>
  </property>
</Properties>
</file>