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400" w:lineRule="exact"/>
        <w:jc w:val="center"/>
        <w:rPr>
          <w:rFonts w:eastAsia="黑体"/>
          <w:sz w:val="28"/>
          <w:szCs w:val="28"/>
          <w:u w:val="single"/>
        </w:rPr>
      </w:pPr>
      <w:r>
        <w:rPr>
          <w:rFonts w:eastAsia="黑体"/>
          <w:sz w:val="30"/>
          <w:szCs w:val="30"/>
        </w:rPr>
        <w:t>招标公告</w:t>
      </w:r>
    </w:p>
    <w:p>
      <w:pPr>
        <w:wordWrap w:val="0"/>
        <w:topLinePunct/>
        <w:spacing w:line="440" w:lineRule="exact"/>
        <w:jc w:val="center"/>
        <w:rPr>
          <w:rFonts w:eastAsia="黑体"/>
          <w:sz w:val="28"/>
        </w:rPr>
      </w:pPr>
      <w:bookmarkStart w:id="0" w:name="_Hlk4531563"/>
      <w:r>
        <w:rPr>
          <w:rFonts w:eastAsia="黑体"/>
          <w:sz w:val="28"/>
        </w:rPr>
        <w:t>丹东线与津滨高速互通工程一期工程设计招标公告</w:t>
      </w:r>
    </w:p>
    <w:p>
      <w:pPr>
        <w:topLinePunct/>
        <w:spacing w:line="460" w:lineRule="exact"/>
        <w:jc w:val="left"/>
        <w:rPr>
          <w:sz w:val="24"/>
        </w:rPr>
      </w:pPr>
      <w:bookmarkStart w:id="1" w:name="_Toc396461574"/>
      <w:bookmarkStart w:id="2" w:name="_Toc396460406"/>
    </w:p>
    <w:p>
      <w:pPr>
        <w:topLinePunct/>
        <w:spacing w:line="360" w:lineRule="auto"/>
        <w:outlineLvl w:val="1"/>
        <w:rPr>
          <w:rFonts w:eastAsia="黑体"/>
          <w:bCs/>
          <w:sz w:val="24"/>
        </w:rPr>
      </w:pPr>
      <w:bookmarkStart w:id="3" w:name="_Toc396461573"/>
      <w:bookmarkStart w:id="4" w:name="_Toc447602673"/>
      <w:bookmarkStart w:id="5" w:name="_Toc396460405"/>
      <w:r>
        <w:rPr>
          <w:rFonts w:eastAsia="黑体"/>
          <w:bCs/>
          <w:sz w:val="24"/>
        </w:rPr>
        <w:t>1. 招标条件</w:t>
      </w:r>
      <w:bookmarkEnd w:id="3"/>
      <w:bookmarkEnd w:id="4"/>
      <w:bookmarkEnd w:id="5"/>
    </w:p>
    <w:p>
      <w:pPr>
        <w:topLinePunct/>
        <w:spacing w:line="360" w:lineRule="auto"/>
        <w:ind w:firstLine="480" w:firstLineChars="200"/>
        <w:rPr>
          <w:sz w:val="24"/>
        </w:rPr>
      </w:pPr>
      <w:r>
        <w:rPr>
          <w:sz w:val="24"/>
        </w:rPr>
        <w:t>本招标项目</w:t>
      </w:r>
      <w:r>
        <w:rPr>
          <w:sz w:val="24"/>
          <w:u w:val="single"/>
        </w:rPr>
        <w:t>丹东线与津滨高速互通工程一期工程</w:t>
      </w:r>
      <w:r>
        <w:rPr>
          <w:sz w:val="24"/>
        </w:rPr>
        <w:t>（以下简称本项目）已由</w:t>
      </w:r>
      <w:r>
        <w:rPr>
          <w:sz w:val="24"/>
          <w:u w:val="single"/>
        </w:rPr>
        <w:t xml:space="preserve"> </w:t>
      </w:r>
      <w:r>
        <w:rPr>
          <w:rFonts w:hint="eastAsia"/>
          <w:sz w:val="24"/>
          <w:u w:val="single"/>
        </w:rPr>
        <w:t>天津市滨海新区行政审批局</w:t>
      </w:r>
      <w:r>
        <w:rPr>
          <w:sz w:val="24"/>
          <w:u w:val="single"/>
        </w:rPr>
        <w:t xml:space="preserve"> </w:t>
      </w:r>
      <w:r>
        <w:rPr>
          <w:sz w:val="24"/>
        </w:rPr>
        <w:t>以</w:t>
      </w:r>
      <w:r>
        <w:rPr>
          <w:sz w:val="24"/>
          <w:u w:val="single"/>
        </w:rPr>
        <w:t xml:space="preserve"> </w:t>
      </w:r>
      <w:r>
        <w:rPr>
          <w:rFonts w:hint="eastAsia"/>
          <w:sz w:val="24"/>
          <w:u w:val="single"/>
        </w:rPr>
        <w:t xml:space="preserve">《滨海新区行政审批局关于天津泰达津滨高速公路有限公司丹东线与津滨高速互通工程期工程核准的批复》津滨审批一室准[2023]475号 </w:t>
      </w:r>
      <w:r>
        <w:rPr>
          <w:sz w:val="24"/>
        </w:rPr>
        <w:t>批准建设，建设资金为100%自筹，资金已落实，招标人为</w:t>
      </w:r>
      <w:r>
        <w:rPr>
          <w:sz w:val="24"/>
          <w:u w:val="single"/>
        </w:rPr>
        <w:t>天津泰达津滨高速公路有限公司</w:t>
      </w:r>
      <w:r>
        <w:rPr>
          <w:sz w:val="24"/>
        </w:rPr>
        <w:t>（以下简称招标人），招标代理为</w:t>
      </w:r>
      <w:r>
        <w:rPr>
          <w:sz w:val="24"/>
          <w:u w:val="single"/>
        </w:rPr>
        <w:t xml:space="preserve">  建融建设管理集团有限责任公司 </w:t>
      </w:r>
      <w:r>
        <w:rPr>
          <w:sz w:val="24"/>
        </w:rPr>
        <w:t>（以下简称招标代理）。项目已具备招标条件，现对本项目设计进行公开招标，并对投标人进行资格后审。</w:t>
      </w:r>
    </w:p>
    <w:p>
      <w:pPr>
        <w:topLinePunct/>
        <w:spacing w:line="360" w:lineRule="auto"/>
        <w:outlineLvl w:val="1"/>
        <w:rPr>
          <w:rFonts w:eastAsia="黑体"/>
          <w:bCs/>
          <w:sz w:val="24"/>
        </w:rPr>
      </w:pPr>
      <w:bookmarkStart w:id="6" w:name="_Toc447602674"/>
      <w:r>
        <w:rPr>
          <w:rFonts w:eastAsia="黑体"/>
          <w:bCs/>
          <w:sz w:val="24"/>
        </w:rPr>
        <w:t>2. 项目概况与招标范围</w:t>
      </w:r>
      <w:bookmarkEnd w:id="6"/>
    </w:p>
    <w:p>
      <w:pPr>
        <w:topLinePunct/>
        <w:spacing w:line="360" w:lineRule="auto"/>
        <w:ind w:firstLine="480" w:firstLineChars="200"/>
        <w:rPr>
          <w:sz w:val="24"/>
        </w:rPr>
      </w:pPr>
      <w:r>
        <w:rPr>
          <w:rFonts w:hint="eastAsia"/>
          <w:sz w:val="24"/>
        </w:rPr>
        <w:t xml:space="preserve">2.1 建设地点： 津滨高速。 </w:t>
      </w:r>
    </w:p>
    <w:p>
      <w:pPr>
        <w:topLinePunct/>
        <w:spacing w:line="360" w:lineRule="auto"/>
        <w:ind w:firstLine="480" w:firstLineChars="200"/>
        <w:rPr>
          <w:sz w:val="24"/>
        </w:rPr>
      </w:pPr>
      <w:r>
        <w:rPr>
          <w:rFonts w:hint="eastAsia"/>
          <w:sz w:val="24"/>
        </w:rPr>
        <w:t>2.2 项目概况与建设规模：</w:t>
      </w:r>
    </w:p>
    <w:p>
      <w:pPr>
        <w:topLinePunct/>
        <w:spacing w:line="360" w:lineRule="auto"/>
        <w:ind w:firstLine="480" w:firstLineChars="200"/>
        <w:rPr>
          <w:sz w:val="24"/>
        </w:rPr>
      </w:pPr>
      <w:r>
        <w:rPr>
          <w:rFonts w:hint="eastAsia"/>
          <w:sz w:val="24"/>
        </w:rPr>
        <w:t>本项目建设地点位于天津市滨海新区丹东线与津滨高速公路(K26+110)交接处及津滨高速公路 K24+110、K26+490。</w:t>
      </w:r>
    </w:p>
    <w:p>
      <w:pPr>
        <w:topLinePunct/>
        <w:spacing w:line="360" w:lineRule="auto"/>
        <w:ind w:firstLine="480" w:firstLineChars="200"/>
        <w:rPr>
          <w:sz w:val="24"/>
        </w:rPr>
      </w:pPr>
      <w:r>
        <w:rPr>
          <w:rFonts w:hint="eastAsia"/>
          <w:sz w:val="24"/>
        </w:rPr>
        <w:t>工程建设内容为建设丹东线与津滨高速公路立交西北向一对匝道及南向西左转匝道共 4 条匝道，并与胡家园轻轨站连接;同时将津滨高速滨海收费站西移两公里，新建主线收费站及附属楼，占地面积约 190000 平方米，建筑面积约 6200 平方米。核准总投资</w:t>
      </w:r>
      <w:r>
        <w:rPr>
          <w:sz w:val="24"/>
        </w:rPr>
        <w:t>3.5</w:t>
      </w:r>
      <w:r>
        <w:rPr>
          <w:rFonts w:hint="eastAsia"/>
          <w:sz w:val="24"/>
        </w:rPr>
        <w:t>亿元。</w:t>
      </w:r>
    </w:p>
    <w:p>
      <w:pPr>
        <w:topLinePunct/>
        <w:spacing w:line="360" w:lineRule="auto"/>
        <w:ind w:firstLine="480" w:firstLineChars="200"/>
        <w:rPr>
          <w:sz w:val="24"/>
        </w:rPr>
      </w:pPr>
      <w:r>
        <w:rPr>
          <w:sz w:val="24"/>
        </w:rPr>
        <w:t>2.3招标范围及标段划分</w:t>
      </w:r>
    </w:p>
    <w:p>
      <w:pPr>
        <w:pStyle w:val="3"/>
        <w:spacing w:line="360" w:lineRule="auto"/>
        <w:ind w:firstLine="480" w:firstLineChars="200"/>
        <w:rPr>
          <w:sz w:val="24"/>
          <w:lang w:val="en-US"/>
        </w:rPr>
      </w:pPr>
      <w:bookmarkStart w:id="7" w:name="_Hlk112179565"/>
      <w:r>
        <w:rPr>
          <w:rFonts w:hint="eastAsia"/>
          <w:sz w:val="24"/>
          <w:lang w:val="en-US"/>
        </w:rPr>
        <w:t>本项目设计招标共一个标段，主要工作内容为：初步设计、</w:t>
      </w:r>
      <w:r>
        <w:rPr>
          <w:rFonts w:hint="eastAsia"/>
          <w:bCs/>
          <w:sz w:val="24"/>
          <w:lang w:val="en-US"/>
        </w:rPr>
        <w:t>设计概算、</w:t>
      </w:r>
      <w:r>
        <w:rPr>
          <w:rFonts w:hint="eastAsia"/>
          <w:sz w:val="24"/>
          <w:lang w:val="en-US"/>
        </w:rPr>
        <w:t>施工图设计、后续设计、现场服务及施工阶段配合服务及其他服务内容。</w:t>
      </w:r>
    </w:p>
    <w:bookmarkEnd w:id="7"/>
    <w:p>
      <w:pPr>
        <w:topLinePunct/>
        <w:spacing w:line="360" w:lineRule="auto"/>
        <w:ind w:firstLine="480" w:firstLineChars="200"/>
        <w:rPr>
          <w:sz w:val="24"/>
        </w:rPr>
      </w:pPr>
      <w:r>
        <w:rPr>
          <w:sz w:val="24"/>
        </w:rPr>
        <w:t>2.4服务周期：</w:t>
      </w:r>
      <w:bookmarkStart w:id="8" w:name="_Hlk112179582"/>
      <w:r>
        <w:rPr>
          <w:rFonts w:hint="eastAsia"/>
          <w:sz w:val="24"/>
        </w:rPr>
        <w:t>合同签订后初步设计</w:t>
      </w:r>
      <w:r>
        <w:rPr>
          <w:sz w:val="24"/>
        </w:rPr>
        <w:t>15</w:t>
      </w:r>
      <w:r>
        <w:rPr>
          <w:rFonts w:hint="eastAsia"/>
          <w:sz w:val="24"/>
        </w:rPr>
        <w:t>日历天；施工图设计</w:t>
      </w:r>
      <w:r>
        <w:rPr>
          <w:sz w:val="24"/>
        </w:rPr>
        <w:t>45</w:t>
      </w:r>
      <w:r>
        <w:rPr>
          <w:rFonts w:hint="eastAsia"/>
          <w:sz w:val="24"/>
        </w:rPr>
        <w:t>日历天。后续服务至项目通过竣工验收之日止。</w:t>
      </w:r>
    </w:p>
    <w:bookmarkEnd w:id="8"/>
    <w:p>
      <w:pPr>
        <w:topLinePunct/>
        <w:spacing w:line="360" w:lineRule="auto"/>
        <w:outlineLvl w:val="1"/>
        <w:rPr>
          <w:sz w:val="24"/>
        </w:rPr>
      </w:pPr>
      <w:bookmarkStart w:id="9" w:name="_Toc447602675"/>
      <w:r>
        <w:rPr>
          <w:rFonts w:eastAsia="黑体"/>
          <w:bCs/>
          <w:sz w:val="24"/>
        </w:rPr>
        <w:t>3. 投标人资格要求</w:t>
      </w:r>
      <w:bookmarkEnd w:id="9"/>
    </w:p>
    <w:p>
      <w:pPr>
        <w:pStyle w:val="2"/>
        <w:ind w:firstLine="480"/>
        <w:rPr>
          <w:rFonts w:ascii="Times New Roman" w:hAnsi="Times New Roman"/>
          <w:sz w:val="24"/>
          <w:szCs w:val="24"/>
          <w:lang w:val="en-US"/>
        </w:rPr>
      </w:pPr>
      <w:r>
        <w:rPr>
          <w:rFonts w:ascii="Times New Roman" w:hAnsi="Times New Roman"/>
          <w:sz w:val="24"/>
          <w:szCs w:val="24"/>
          <w:lang w:val="en-US"/>
        </w:rPr>
        <w:t>3.1</w:t>
      </w:r>
      <w:r>
        <w:rPr>
          <w:rFonts w:hint="eastAsia" w:ascii="Times New Roman" w:hAnsi="Times New Roman"/>
          <w:sz w:val="24"/>
          <w:szCs w:val="24"/>
          <w:lang w:val="en-US"/>
        </w:rPr>
        <w:t xml:space="preserve"> 本次招标要求投标人必须同时满足下列要求的资格条件。</w:t>
      </w:r>
    </w:p>
    <w:tbl>
      <w:tblPr>
        <w:tblStyle w:val="6"/>
        <w:tblW w:w="80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blHeader/>
          <w:jc w:val="center"/>
        </w:trPr>
        <w:tc>
          <w:tcPr>
            <w:tcW w:w="704" w:type="dxa"/>
            <w:tcBorders>
              <w:tl2br w:val="nil"/>
              <w:tr2bl w:val="nil"/>
            </w:tcBorders>
            <w:vAlign w:val="center"/>
          </w:tcPr>
          <w:p>
            <w:pPr>
              <w:autoSpaceDE w:val="0"/>
              <w:autoSpaceDN w:val="0"/>
              <w:snapToGrid w:val="0"/>
              <w:jc w:val="center"/>
              <w:rPr>
                <w:b/>
                <w:bCs/>
                <w:szCs w:val="21"/>
              </w:rPr>
            </w:pPr>
            <w:bookmarkStart w:id="10" w:name="_Hlk112179591"/>
            <w:r>
              <w:rPr>
                <w:b/>
                <w:bCs/>
                <w:szCs w:val="21"/>
              </w:rPr>
              <w:t>类别</w:t>
            </w:r>
          </w:p>
        </w:tc>
        <w:tc>
          <w:tcPr>
            <w:tcW w:w="7371" w:type="dxa"/>
            <w:tcBorders>
              <w:tl2br w:val="nil"/>
              <w:tr2bl w:val="nil"/>
            </w:tcBorders>
            <w:vAlign w:val="center"/>
          </w:tcPr>
          <w:p>
            <w:pPr>
              <w:autoSpaceDE w:val="0"/>
              <w:autoSpaceDN w:val="0"/>
              <w:snapToGrid w:val="0"/>
              <w:jc w:val="center"/>
              <w:rPr>
                <w:b/>
                <w:bCs/>
                <w:szCs w:val="21"/>
              </w:rPr>
            </w:pPr>
            <w:r>
              <w:rPr>
                <w:b/>
                <w:bCs/>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704" w:type="dxa"/>
            <w:tcBorders>
              <w:bottom w:val="single" w:color="auto" w:sz="4" w:space="0"/>
              <w:tl2br w:val="nil"/>
              <w:tr2bl w:val="nil"/>
            </w:tcBorders>
            <w:vAlign w:val="center"/>
          </w:tcPr>
          <w:p>
            <w:pPr>
              <w:autoSpaceDE w:val="0"/>
              <w:autoSpaceDN w:val="0"/>
              <w:snapToGrid w:val="0"/>
              <w:spacing w:line="360" w:lineRule="auto"/>
              <w:jc w:val="center"/>
              <w:rPr>
                <w:szCs w:val="21"/>
              </w:rPr>
            </w:pPr>
            <w:r>
              <w:rPr>
                <w:szCs w:val="21"/>
              </w:rPr>
              <w:t>资质要求</w:t>
            </w:r>
          </w:p>
        </w:tc>
        <w:tc>
          <w:tcPr>
            <w:tcW w:w="7371" w:type="dxa"/>
            <w:tcBorders>
              <w:tl2br w:val="nil"/>
              <w:tr2bl w:val="nil"/>
            </w:tcBorders>
            <w:vAlign w:val="center"/>
          </w:tcPr>
          <w:p>
            <w:pPr>
              <w:autoSpaceDE w:val="0"/>
              <w:autoSpaceDN w:val="0"/>
              <w:snapToGrid w:val="0"/>
              <w:spacing w:line="300" w:lineRule="auto"/>
              <w:ind w:firstLine="420" w:firstLineChars="200"/>
              <w:rPr>
                <w:szCs w:val="21"/>
              </w:rPr>
            </w:pPr>
            <w:r>
              <w:rPr>
                <w:szCs w:val="21"/>
              </w:rPr>
              <w:t>投标人必须具有有效的企业法人营业执照</w:t>
            </w:r>
            <w:r>
              <w:rPr>
                <w:rFonts w:hint="eastAsia"/>
                <w:szCs w:val="21"/>
              </w:rPr>
              <w:t>；</w:t>
            </w:r>
          </w:p>
          <w:p>
            <w:pPr>
              <w:autoSpaceDE w:val="0"/>
              <w:autoSpaceDN w:val="0"/>
              <w:snapToGrid w:val="0"/>
              <w:spacing w:line="300" w:lineRule="auto"/>
              <w:ind w:firstLine="420" w:firstLineChars="200"/>
              <w:rPr>
                <w:szCs w:val="21"/>
              </w:rPr>
            </w:pPr>
            <w:r>
              <w:rPr>
                <w:rFonts w:hint="eastAsia"/>
                <w:szCs w:val="21"/>
              </w:rPr>
              <w:t>投标人须同时具备以下（1）、（</w:t>
            </w:r>
            <w:r>
              <w:rPr>
                <w:szCs w:val="21"/>
              </w:rPr>
              <w:t>2</w:t>
            </w:r>
            <w:r>
              <w:rPr>
                <w:rFonts w:hint="eastAsia"/>
                <w:szCs w:val="21"/>
              </w:rPr>
              <w:t>）资质：</w:t>
            </w:r>
          </w:p>
          <w:p>
            <w:pPr>
              <w:autoSpaceDE w:val="0"/>
              <w:autoSpaceDN w:val="0"/>
              <w:snapToGrid w:val="0"/>
              <w:spacing w:line="300" w:lineRule="auto"/>
              <w:ind w:firstLine="420" w:firstLineChars="200"/>
              <w:rPr>
                <w:szCs w:val="21"/>
              </w:rPr>
            </w:pPr>
            <w:r>
              <w:rPr>
                <w:rFonts w:hint="eastAsia"/>
                <w:szCs w:val="21"/>
              </w:rPr>
              <w:t>（1）投标人须具备住房和城乡建设部颁发的工程设计综合甲级资质或公路行业设计甲级资质或公路行业（公路、特大桥梁、交通工程）专业设计甲级资质；</w:t>
            </w:r>
          </w:p>
          <w:p>
            <w:pPr>
              <w:autoSpaceDE w:val="0"/>
              <w:autoSpaceDN w:val="0"/>
              <w:snapToGrid w:val="0"/>
              <w:spacing w:line="300" w:lineRule="auto"/>
              <w:ind w:firstLine="420" w:firstLineChars="200"/>
              <w:rPr>
                <w:szCs w:val="21"/>
              </w:rPr>
            </w:pPr>
            <w:r>
              <w:rPr>
                <w:rFonts w:hint="eastAsia"/>
                <w:szCs w:val="21"/>
              </w:rPr>
              <w:t>（2）投标人须具备住房和城乡建设部颁发的工程设计综合甲级资质或工程设计建筑行业乙级资质或者工程设计建筑行业建筑工程专业乙级资质。</w:t>
            </w:r>
          </w:p>
          <w:p>
            <w:pPr>
              <w:autoSpaceDE w:val="0"/>
              <w:autoSpaceDN w:val="0"/>
              <w:snapToGrid w:val="0"/>
              <w:spacing w:line="300" w:lineRule="auto"/>
              <w:ind w:firstLine="420" w:firstLineChars="200"/>
              <w:rPr>
                <w:szCs w:val="21"/>
              </w:rPr>
            </w:pPr>
            <w:r>
              <w:rPr>
                <w:szCs w:val="21"/>
              </w:rPr>
              <w:t>根据《关于发布公路工程从业企业资质名录的通知》（厅公路字〔2011〕114号）要求，投标人应进入交通运输部“全国公路建设市场监督管理系统（</w:t>
            </w:r>
            <w:r>
              <w:t>https://hwdms.mot.gov.cn/BMWebSite/</w:t>
            </w:r>
            <w:r>
              <w:rPr>
                <w:szCs w:val="21"/>
              </w:rPr>
              <w:t>）”中的公路工程设计资质企业名录，且名称和资质与该名录中的相应企业名称和资质完全一致。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04" w:type="dxa"/>
            <w:tcBorders>
              <w:top w:val="single" w:color="auto" w:sz="4" w:space="0"/>
              <w:bottom w:val="single" w:color="auto" w:sz="4" w:space="0"/>
              <w:tl2br w:val="nil"/>
              <w:tr2bl w:val="nil"/>
            </w:tcBorders>
            <w:vAlign w:val="center"/>
          </w:tcPr>
          <w:p>
            <w:pPr>
              <w:autoSpaceDE w:val="0"/>
              <w:autoSpaceDN w:val="0"/>
              <w:snapToGrid w:val="0"/>
              <w:spacing w:line="360" w:lineRule="auto"/>
              <w:jc w:val="center"/>
              <w:rPr>
                <w:szCs w:val="21"/>
              </w:rPr>
            </w:pPr>
            <w:r>
              <w:rPr>
                <w:szCs w:val="21"/>
              </w:rPr>
              <w:t>业绩要求</w:t>
            </w:r>
          </w:p>
        </w:tc>
        <w:tc>
          <w:tcPr>
            <w:tcW w:w="7371" w:type="dxa"/>
            <w:tcBorders>
              <w:tl2br w:val="nil"/>
              <w:tr2bl w:val="nil"/>
            </w:tcBorders>
            <w:vAlign w:val="center"/>
          </w:tcPr>
          <w:p>
            <w:pPr>
              <w:numPr>
                <w:ilvl w:val="255"/>
                <w:numId w:val="0"/>
              </w:numPr>
              <w:autoSpaceDE w:val="0"/>
              <w:autoSpaceDN w:val="0"/>
              <w:snapToGrid w:val="0"/>
              <w:spacing w:line="300" w:lineRule="auto"/>
              <w:ind w:firstLine="420" w:firstLineChars="200"/>
            </w:pPr>
            <w:r>
              <w:t>近十年（指2014年1月1日至投标文件递交截止日，以初步设计或施工图设计批复时间为准）以来，投标人独立完成过</w:t>
            </w:r>
            <w:r>
              <w:rPr>
                <w:rFonts w:hint="eastAsia"/>
              </w:rPr>
              <w:t>1项高速公路新建或改扩建或互通的设计业绩</w:t>
            </w:r>
            <w:r>
              <w:t>。</w:t>
            </w:r>
          </w:p>
          <w:p>
            <w:pPr>
              <w:numPr>
                <w:ilvl w:val="255"/>
                <w:numId w:val="0"/>
              </w:numPr>
              <w:autoSpaceDE w:val="0"/>
              <w:autoSpaceDN w:val="0"/>
              <w:snapToGrid w:val="0"/>
              <w:spacing w:line="300" w:lineRule="auto"/>
              <w:ind w:firstLine="422" w:firstLineChars="200"/>
              <w:rPr>
                <w:b/>
                <w:bCs/>
              </w:rPr>
            </w:pPr>
            <w:r>
              <w:rPr>
                <w:b/>
                <w:bCs/>
              </w:rPr>
              <w:t>注：以上业绩可以是已完成的初步设计阶段或施工图设计阶段设计业绩，但同一项目的不同阶段的设计业绩不重复计算。</w:t>
            </w:r>
          </w:p>
          <w:p>
            <w:pPr>
              <w:numPr>
                <w:ilvl w:val="255"/>
                <w:numId w:val="0"/>
              </w:numPr>
              <w:autoSpaceDE w:val="0"/>
              <w:autoSpaceDN w:val="0"/>
              <w:snapToGrid w:val="0"/>
              <w:spacing w:line="300" w:lineRule="auto"/>
              <w:ind w:firstLine="422" w:firstLineChars="200"/>
            </w:pPr>
            <w:r>
              <w:rPr>
                <w:b/>
                <w:bCs/>
              </w:rPr>
              <w:t>以上业绩应是已列入交通运输主管部门“全国公路建设市场监督管理系统”并公开的“初步设计已批复或施工图设计已批复”的主包业绩或分包业绩，应附在交通运输部“全国公路建设市场监督管理系统”（网址：https://hwdms.mot.gov.cn/BMWebSite/）中查询到的企业“业绩信息”相关项目彩色网页截图，即包括“工程名称”“项目类型”“合同价”“技术等级”“主要设计内容”“人员履约信息”</w:t>
            </w:r>
            <w:r>
              <w:rPr>
                <w:rFonts w:hint="eastAsia"/>
                <w:b/>
                <w:bCs/>
              </w:rPr>
              <w:t>“初步设计或施工图设计批复时间”</w:t>
            </w:r>
            <w:r>
              <w:rPr>
                <w:b/>
                <w:bCs/>
              </w:rPr>
              <w:t>等栏目在内的项目详细信息网页截图复印件。在交通运输部“全国公路建设市场监督管理系统”中无法查询，但可在省级交通运输主管部门“全国公路建设市场监督管理系统”中查询的，应附省级交通运输主管部门“全国公路建设市场监督管理系统”中查询到的网页截图复印件并注明查询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jc w:val="center"/>
        </w:trPr>
        <w:tc>
          <w:tcPr>
            <w:tcW w:w="704" w:type="dxa"/>
            <w:tcBorders>
              <w:tl2br w:val="nil"/>
              <w:tr2bl w:val="nil"/>
            </w:tcBorders>
            <w:vAlign w:val="center"/>
          </w:tcPr>
          <w:p>
            <w:pPr>
              <w:autoSpaceDE w:val="0"/>
              <w:autoSpaceDN w:val="0"/>
              <w:snapToGrid w:val="0"/>
              <w:spacing w:line="360" w:lineRule="auto"/>
              <w:jc w:val="center"/>
              <w:rPr>
                <w:szCs w:val="21"/>
              </w:rPr>
            </w:pPr>
            <w:r>
              <w:rPr>
                <w:szCs w:val="21"/>
              </w:rPr>
              <w:t>主要人员要求</w:t>
            </w:r>
          </w:p>
        </w:tc>
        <w:tc>
          <w:tcPr>
            <w:tcW w:w="7371" w:type="dxa"/>
            <w:tcBorders>
              <w:tl2br w:val="nil"/>
              <w:tr2bl w:val="nil"/>
            </w:tcBorders>
            <w:vAlign w:val="center"/>
          </w:tcPr>
          <w:p>
            <w:pPr>
              <w:autoSpaceDE w:val="0"/>
              <w:autoSpaceDN w:val="0"/>
              <w:snapToGrid w:val="0"/>
              <w:spacing w:line="300" w:lineRule="auto"/>
              <w:ind w:firstLine="420" w:firstLineChars="200"/>
              <w:rPr>
                <w:szCs w:val="21"/>
              </w:rPr>
            </w:pPr>
            <w:r>
              <w:rPr>
                <w:rFonts w:hint="eastAsia"/>
                <w:szCs w:val="21"/>
              </w:rPr>
              <w:t>投标人</w:t>
            </w:r>
            <w:r>
              <w:rPr>
                <w:szCs w:val="21"/>
              </w:rPr>
              <w:t>项目负责人（1名），须具备公路工程相关专业</w:t>
            </w:r>
            <w:r>
              <w:rPr>
                <w:rFonts w:hint="eastAsia"/>
                <w:szCs w:val="21"/>
              </w:rPr>
              <w:t>正</w:t>
            </w:r>
            <w:r>
              <w:rPr>
                <w:szCs w:val="21"/>
              </w:rPr>
              <w:t>高级工程师，近十年（指2014年1月1日至投标文件递交截止日），作为项目负责人至少</w:t>
            </w:r>
            <w:r>
              <w:rPr>
                <w:rFonts w:hint="eastAsia"/>
                <w:szCs w:val="21"/>
              </w:rPr>
              <w:t>承担</w:t>
            </w:r>
            <w:r>
              <w:rPr>
                <w:szCs w:val="21"/>
              </w:rPr>
              <w:t>过1</w:t>
            </w:r>
            <w:r>
              <w:rPr>
                <w:rFonts w:hint="eastAsia"/>
                <w:szCs w:val="21"/>
              </w:rPr>
              <w:t>项高速公路新建或改扩建或互通的设计工作</w:t>
            </w:r>
            <w:r>
              <w:rPr>
                <w:szCs w:val="21"/>
              </w:rPr>
              <w:t>。</w:t>
            </w:r>
          </w:p>
          <w:p>
            <w:pPr>
              <w:autoSpaceDE w:val="0"/>
              <w:autoSpaceDN w:val="0"/>
              <w:snapToGrid w:val="0"/>
              <w:spacing w:line="300" w:lineRule="auto"/>
              <w:ind w:firstLine="422" w:firstLineChars="200"/>
              <w:rPr>
                <w:b/>
                <w:bCs/>
                <w:szCs w:val="21"/>
              </w:rPr>
            </w:pPr>
            <w:r>
              <w:rPr>
                <w:rFonts w:hint="eastAsia"/>
                <w:b/>
                <w:bCs/>
                <w:szCs w:val="21"/>
              </w:rPr>
              <w:t>注：以上个人业绩可以是已完成的初步设计阶段或施工图设计阶段设计业绩，但同一项目的不同阶段的设计业绩不重复计算。</w:t>
            </w:r>
          </w:p>
          <w:p>
            <w:pPr>
              <w:autoSpaceDE w:val="0"/>
              <w:autoSpaceDN w:val="0"/>
              <w:snapToGrid w:val="0"/>
              <w:spacing w:line="300" w:lineRule="auto"/>
              <w:ind w:firstLine="422" w:firstLineChars="200"/>
              <w:rPr>
                <w:b/>
                <w:bCs/>
                <w:szCs w:val="21"/>
              </w:rPr>
            </w:pPr>
            <w:r>
              <w:rPr>
                <w:b/>
                <w:bCs/>
                <w:kern w:val="0"/>
                <w:szCs w:val="21"/>
              </w:rPr>
              <w:t>“主要人员近年完成的类似项目情况表”应附交通运输部“全国公路建设市场监督管理系统”中载明的、能够证明</w:t>
            </w:r>
            <w:r>
              <w:rPr>
                <w:rFonts w:hint="eastAsia"/>
                <w:b/>
                <w:bCs/>
                <w:kern w:val="0"/>
                <w:szCs w:val="21"/>
              </w:rPr>
              <w:t>以上人员</w:t>
            </w:r>
            <w:r>
              <w:rPr>
                <w:b/>
                <w:bCs/>
                <w:kern w:val="0"/>
                <w:szCs w:val="21"/>
              </w:rPr>
              <w:t>以项目负责人或技术负责人身份具有相关业绩的网页截图扫描件。在交通运输部“全国公路建设市场监督管理系统”中无法查询，但可在省级交通运输主管部门“全国公路建设市场监督管理系统”中查询的，应附省级交通运输主管部门“全国公路建设市场监督管理系统”中查询到的网页截图扫描件并注明查询路径。除网页截图扫描件外，投标人无须再提供任何业绩证明材料。如投标人未提供相关业绩网页截图扫描件或相关业绩网页截图中的信息无法证实业绩满足要求的，则该业绩不予认定。</w:t>
            </w:r>
          </w:p>
          <w:p>
            <w:pPr>
              <w:autoSpaceDE w:val="0"/>
              <w:autoSpaceDN w:val="0"/>
              <w:snapToGrid w:val="0"/>
              <w:spacing w:line="300" w:lineRule="auto"/>
              <w:ind w:firstLine="422" w:firstLineChars="200"/>
              <w:rPr>
                <w:b/>
                <w:bCs/>
                <w:szCs w:val="21"/>
              </w:rPr>
            </w:pPr>
            <w:r>
              <w:rPr>
                <w:rFonts w:hint="eastAsia"/>
                <w:b/>
                <w:bCs/>
                <w:szCs w:val="21"/>
              </w:rPr>
              <w:t>公路工程相关专业职称是指：公路工程、道路与桥梁工程、道路工程、桥梁工程、公路与桥梁工程、交通土建、隧道 (地下结构) 工程、交通工程，名称中含有“公路”或“道路”等专业职称。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0" w:hRule="atLeast"/>
          <w:jc w:val="center"/>
        </w:trPr>
        <w:tc>
          <w:tcPr>
            <w:tcW w:w="704" w:type="dxa"/>
            <w:tcBorders>
              <w:tl2br w:val="nil"/>
              <w:tr2bl w:val="nil"/>
            </w:tcBorders>
            <w:vAlign w:val="center"/>
          </w:tcPr>
          <w:p>
            <w:pPr>
              <w:autoSpaceDE w:val="0"/>
              <w:autoSpaceDN w:val="0"/>
              <w:snapToGrid w:val="0"/>
              <w:spacing w:line="360" w:lineRule="auto"/>
              <w:jc w:val="center"/>
              <w:rPr>
                <w:szCs w:val="21"/>
              </w:rPr>
            </w:pPr>
            <w:r>
              <w:rPr>
                <w:szCs w:val="21"/>
              </w:rPr>
              <w:t>企业信誉</w:t>
            </w:r>
          </w:p>
        </w:tc>
        <w:tc>
          <w:tcPr>
            <w:tcW w:w="7371" w:type="dxa"/>
            <w:tcBorders>
              <w:tl2br w:val="nil"/>
              <w:tr2bl w:val="nil"/>
            </w:tcBorders>
            <w:vAlign w:val="center"/>
          </w:tcPr>
          <w:p>
            <w:pPr>
              <w:autoSpaceDE w:val="0"/>
              <w:autoSpaceDN w:val="0"/>
              <w:snapToGrid w:val="0"/>
              <w:spacing w:line="300" w:lineRule="auto"/>
              <w:rPr>
                <w:szCs w:val="21"/>
              </w:rPr>
            </w:pPr>
            <w:r>
              <w:rPr>
                <w:szCs w:val="21"/>
              </w:rPr>
              <w:t>投标人存在下列不良状况或不良信用记录的单位，不得参加投标：</w:t>
            </w:r>
          </w:p>
          <w:p>
            <w:pPr>
              <w:autoSpaceDE w:val="0"/>
              <w:autoSpaceDN w:val="0"/>
              <w:snapToGrid w:val="0"/>
              <w:spacing w:line="300" w:lineRule="auto"/>
              <w:ind w:firstLine="420" w:firstLineChars="200"/>
              <w:rPr>
                <w:szCs w:val="21"/>
              </w:rPr>
            </w:pPr>
            <w:r>
              <w:rPr>
                <w:szCs w:val="21"/>
              </w:rPr>
              <w:t>1. 凡</w:t>
            </w:r>
            <w:r>
              <w:rPr>
                <w:rFonts w:hint="eastAsia"/>
                <w:szCs w:val="21"/>
              </w:rPr>
              <w:t>被省级及以上交通运输主管部门取消招标项目所在地的投标资格且处于有效期内</w:t>
            </w:r>
            <w:r>
              <w:rPr>
                <w:szCs w:val="21"/>
              </w:rPr>
              <w:t>单位无资格参与本项目投标；</w:t>
            </w:r>
          </w:p>
          <w:p>
            <w:pPr>
              <w:autoSpaceDE w:val="0"/>
              <w:autoSpaceDN w:val="0"/>
              <w:snapToGrid w:val="0"/>
              <w:spacing w:line="300" w:lineRule="auto"/>
              <w:ind w:firstLine="420" w:firstLineChars="200"/>
              <w:rPr>
                <w:szCs w:val="21"/>
              </w:rPr>
            </w:pPr>
            <w:r>
              <w:rPr>
                <w:szCs w:val="21"/>
              </w:rPr>
              <w:t>2. 凡在交通运输部最新年度设计企业信用评价结果或</w:t>
            </w:r>
            <w:r>
              <w:rPr>
                <w:rFonts w:hint="eastAsia"/>
                <w:szCs w:val="21"/>
              </w:rPr>
              <w:t>天津市公路工程设计</w:t>
            </w:r>
            <w:r>
              <w:rPr>
                <w:szCs w:val="21"/>
              </w:rPr>
              <w:t>企业信用评价结果中，被评为D级或曾被评为D级但处罚期限未过的单位无资格参与本项目投标；</w:t>
            </w:r>
          </w:p>
          <w:p>
            <w:pPr>
              <w:autoSpaceDE w:val="0"/>
              <w:autoSpaceDN w:val="0"/>
              <w:snapToGrid w:val="0"/>
              <w:spacing w:line="300" w:lineRule="auto"/>
              <w:ind w:firstLine="420" w:firstLineChars="200"/>
              <w:rPr>
                <w:szCs w:val="21"/>
              </w:rPr>
            </w:pPr>
            <w:r>
              <w:rPr>
                <w:szCs w:val="21"/>
              </w:rPr>
              <w:t>3. 在国家企业信用信息公示系统（http://www.gsxt.gov.cn/）中被列入严重违法失信企业名单；在“信用中国”网站（http://www.creditchina.gov.cn/）中被列入失信被执行人名单。</w:t>
            </w:r>
          </w:p>
        </w:tc>
      </w:tr>
      <w:bookmarkEnd w:id="10"/>
    </w:tbl>
    <w:p>
      <w:pPr>
        <w:spacing w:line="360" w:lineRule="auto"/>
        <w:ind w:firstLine="480" w:firstLineChars="200"/>
        <w:rPr>
          <w:sz w:val="24"/>
        </w:rPr>
      </w:pPr>
      <w:r>
        <w:rPr>
          <w:sz w:val="24"/>
        </w:rPr>
        <w:t>3.2 本次招标</w:t>
      </w:r>
      <w:r>
        <w:rPr>
          <w:rFonts w:hint="eastAsia"/>
          <w:b/>
          <w:bCs/>
          <w:sz w:val="24"/>
          <w:u w:val="single"/>
        </w:rPr>
        <w:t>不接受</w:t>
      </w:r>
      <w:r>
        <w:rPr>
          <w:rFonts w:hint="eastAsia"/>
          <w:sz w:val="24"/>
          <w:u w:val="single"/>
        </w:rPr>
        <w:t xml:space="preserve"> </w:t>
      </w:r>
      <w:r>
        <w:rPr>
          <w:rFonts w:hint="eastAsia"/>
          <w:sz w:val="24"/>
        </w:rPr>
        <w:t>联合体投标</w:t>
      </w:r>
      <w:r>
        <w:rPr>
          <w:sz w:val="24"/>
        </w:rPr>
        <w:t>。</w:t>
      </w:r>
    </w:p>
    <w:p>
      <w:pPr>
        <w:spacing w:line="360" w:lineRule="auto"/>
        <w:ind w:firstLine="480" w:firstLineChars="200"/>
        <w:rPr>
          <w:sz w:val="24"/>
        </w:rPr>
      </w:pPr>
      <w:r>
        <w:rPr>
          <w:sz w:val="24"/>
        </w:rPr>
        <w:t>3.3 与招标人存在利害关系可能影响招标公正性的单位，不得参加投标。单位负责人为同一人或存在控股、管理关系的不同单位，不得参加同一标段投标，否则，相关投标均无效。</w:t>
      </w:r>
    </w:p>
    <w:p>
      <w:pPr>
        <w:pStyle w:val="3"/>
        <w:spacing w:after="0" w:line="360" w:lineRule="auto"/>
        <w:ind w:firstLine="480" w:firstLineChars="200"/>
        <w:rPr>
          <w:sz w:val="24"/>
          <w:lang w:val="en-US"/>
        </w:rPr>
      </w:pPr>
      <w:r>
        <w:rPr>
          <w:sz w:val="24"/>
          <w:lang w:val="en-US"/>
        </w:rPr>
        <w:t>3.4 本次招标采用资格后审，投标人自行判断是否符合招标公告要求并决定是否参加投标。</w:t>
      </w:r>
    </w:p>
    <w:p>
      <w:pPr>
        <w:topLinePunct/>
        <w:adjustRightInd w:val="0"/>
        <w:snapToGrid w:val="0"/>
        <w:spacing w:line="360" w:lineRule="auto"/>
        <w:outlineLvl w:val="1"/>
        <w:rPr>
          <w:rFonts w:eastAsia="黑体"/>
          <w:bCs/>
          <w:sz w:val="24"/>
        </w:rPr>
      </w:pPr>
      <w:bookmarkStart w:id="11" w:name="_Toc509993802"/>
      <w:bookmarkStart w:id="12" w:name="_Toc14569"/>
      <w:bookmarkStart w:id="13" w:name="_Toc25212"/>
      <w:bookmarkStart w:id="14" w:name="_Toc26073"/>
      <w:r>
        <w:rPr>
          <w:rFonts w:eastAsia="黑体"/>
          <w:bCs/>
          <w:sz w:val="24"/>
        </w:rPr>
        <w:t>4. 技术成果经济补偿</w:t>
      </w:r>
      <w:bookmarkEnd w:id="11"/>
    </w:p>
    <w:p>
      <w:pPr>
        <w:tabs>
          <w:tab w:val="left" w:pos="360"/>
        </w:tabs>
        <w:adjustRightInd w:val="0"/>
        <w:snapToGrid w:val="0"/>
        <w:spacing w:line="360" w:lineRule="auto"/>
        <w:ind w:firstLine="480" w:firstLineChars="200"/>
        <w:rPr>
          <w:sz w:val="24"/>
        </w:rPr>
      </w:pPr>
      <w:r>
        <w:rPr>
          <w:sz w:val="24"/>
        </w:rPr>
        <w:t>本次招标对未中标人投标文件中的技术成果不给予经济补偿。</w:t>
      </w:r>
    </w:p>
    <w:p>
      <w:pPr>
        <w:topLinePunct/>
        <w:adjustRightInd w:val="0"/>
        <w:snapToGrid w:val="0"/>
        <w:spacing w:line="360" w:lineRule="auto"/>
        <w:outlineLvl w:val="1"/>
        <w:rPr>
          <w:rFonts w:eastAsia="黑体"/>
          <w:bCs/>
          <w:sz w:val="24"/>
        </w:rPr>
      </w:pPr>
      <w:r>
        <w:rPr>
          <w:rFonts w:eastAsia="黑体"/>
          <w:bCs/>
          <w:sz w:val="24"/>
        </w:rPr>
        <w:t>5. 招标文件的获取</w:t>
      </w:r>
      <w:bookmarkEnd w:id="12"/>
      <w:bookmarkEnd w:id="13"/>
      <w:bookmarkEnd w:id="14"/>
      <w:r>
        <w:rPr>
          <w:rFonts w:eastAsia="黑体"/>
          <w:bCs/>
          <w:sz w:val="24"/>
        </w:rPr>
        <w:tab/>
      </w:r>
    </w:p>
    <w:p>
      <w:pPr>
        <w:spacing w:line="360" w:lineRule="auto"/>
        <w:ind w:firstLine="480" w:firstLineChars="200"/>
        <w:rPr>
          <w:sz w:val="24"/>
        </w:rPr>
      </w:pPr>
      <w:r>
        <w:rPr>
          <w:sz w:val="24"/>
        </w:rPr>
        <w:t>5.1 凡有意参加投标者，请于</w:t>
      </w:r>
      <w:r>
        <w:rPr>
          <w:sz w:val="24"/>
          <w:u w:val="single"/>
        </w:rPr>
        <w:t>2024年1月 19日 9:30</w:t>
      </w:r>
      <w:r>
        <w:rPr>
          <w:sz w:val="24"/>
        </w:rPr>
        <w:t>至</w:t>
      </w:r>
      <w:r>
        <w:rPr>
          <w:sz w:val="24"/>
          <w:u w:val="single"/>
        </w:rPr>
        <w:t>2024年 1月 25日 17:00</w:t>
      </w:r>
      <w:r>
        <w:rPr>
          <w:sz w:val="24"/>
        </w:rPr>
        <w:t>（北京时间，下同），</w:t>
      </w:r>
      <w:r>
        <w:rPr>
          <w:rFonts w:hint="eastAsia"/>
          <w:sz w:val="24"/>
        </w:rPr>
        <w:t>持单位介绍信（或授权委托书）、经办人身份证、经办人社保证明材料，所有投标人须在文件获取截止时间前在《天津市公共资源交易网》进行投标确认，未进行投标确认的投标人一切后果自行承担。</w:t>
      </w:r>
    </w:p>
    <w:p>
      <w:pPr>
        <w:spacing w:line="360" w:lineRule="auto"/>
        <w:ind w:firstLine="480" w:firstLineChars="200"/>
        <w:jc w:val="left"/>
        <w:rPr>
          <w:sz w:val="24"/>
        </w:rPr>
      </w:pPr>
      <w:r>
        <w:rPr>
          <w:rFonts w:hint="eastAsia"/>
          <w:sz w:val="24"/>
        </w:rPr>
        <w:t>招标文件费用采用现金或银行电汇形式，电汇至：</w:t>
      </w:r>
    </w:p>
    <w:p>
      <w:pPr>
        <w:spacing w:line="360" w:lineRule="auto"/>
        <w:ind w:firstLine="480" w:firstLineChars="200"/>
        <w:rPr>
          <w:sz w:val="24"/>
        </w:rPr>
      </w:pPr>
      <w:r>
        <w:rPr>
          <w:rFonts w:hint="eastAsia"/>
          <w:sz w:val="24"/>
        </w:rPr>
        <w:t>账户名称：建融建设管理集团有限责任公司天津分公司</w:t>
      </w:r>
    </w:p>
    <w:p>
      <w:pPr>
        <w:spacing w:line="360" w:lineRule="auto"/>
        <w:ind w:firstLine="480" w:firstLineChars="200"/>
        <w:rPr>
          <w:sz w:val="24"/>
        </w:rPr>
      </w:pPr>
      <w:r>
        <w:rPr>
          <w:rFonts w:hint="eastAsia"/>
          <w:sz w:val="24"/>
        </w:rPr>
        <w:t>开户银行：中国建设银行天津和平路支行</w:t>
      </w:r>
    </w:p>
    <w:p>
      <w:pPr>
        <w:spacing w:line="360" w:lineRule="auto"/>
        <w:ind w:firstLine="480" w:firstLineChars="200"/>
        <w:rPr>
          <w:sz w:val="24"/>
        </w:rPr>
      </w:pPr>
      <w:r>
        <w:rPr>
          <w:sz w:val="24"/>
        </w:rPr>
        <w:t>5.2 招标文件售价</w:t>
      </w:r>
      <w:r>
        <w:rPr>
          <w:sz w:val="24"/>
          <w:u w:val="single"/>
        </w:rPr>
        <w:t>1000</w:t>
      </w:r>
      <w:r>
        <w:rPr>
          <w:sz w:val="24"/>
        </w:rPr>
        <w:t>元，售后不退。</w:t>
      </w:r>
    </w:p>
    <w:p>
      <w:pPr>
        <w:spacing w:line="360" w:lineRule="auto"/>
        <w:ind w:firstLine="480" w:firstLineChars="200"/>
        <w:jc w:val="left"/>
        <w:rPr>
          <w:sz w:val="24"/>
        </w:rPr>
      </w:pPr>
      <w:r>
        <w:rPr>
          <w:sz w:val="24"/>
        </w:rPr>
        <w:t>5</w:t>
      </w:r>
      <w:r>
        <w:rPr>
          <w:rFonts w:hint="eastAsia"/>
          <w:sz w:val="24"/>
        </w:rPr>
        <w:t>.3未购买招标文件的单位不能参加投标。</w:t>
      </w:r>
    </w:p>
    <w:p>
      <w:pPr>
        <w:pStyle w:val="2"/>
        <w:rPr>
          <w:lang w:val="en-US"/>
        </w:rPr>
      </w:pPr>
    </w:p>
    <w:p>
      <w:pPr>
        <w:topLinePunct/>
        <w:spacing w:line="360" w:lineRule="auto"/>
        <w:outlineLvl w:val="1"/>
        <w:rPr>
          <w:rFonts w:eastAsia="黑体"/>
          <w:bCs/>
          <w:sz w:val="24"/>
        </w:rPr>
      </w:pPr>
      <w:bookmarkStart w:id="15" w:name="_Toc470760977"/>
      <w:bookmarkStart w:id="16" w:name="_Toc24305"/>
      <w:bookmarkStart w:id="17" w:name="_Toc16769"/>
      <w:bookmarkStart w:id="18" w:name="_Toc18393"/>
      <w:bookmarkStart w:id="19" w:name="_Toc10853"/>
      <w:bookmarkStart w:id="20" w:name="_Toc501257037"/>
      <w:r>
        <w:rPr>
          <w:rFonts w:eastAsia="黑体"/>
          <w:bCs/>
          <w:sz w:val="24"/>
        </w:rPr>
        <w:t>6. 投标文件的递交及相关事宜</w:t>
      </w:r>
      <w:bookmarkEnd w:id="15"/>
      <w:bookmarkEnd w:id="16"/>
      <w:bookmarkEnd w:id="17"/>
      <w:bookmarkEnd w:id="18"/>
      <w:bookmarkEnd w:id="19"/>
      <w:bookmarkEnd w:id="20"/>
    </w:p>
    <w:p>
      <w:pPr>
        <w:adjustRightInd w:val="0"/>
        <w:snapToGrid w:val="0"/>
        <w:spacing w:line="360" w:lineRule="auto"/>
        <w:ind w:firstLine="480" w:firstLineChars="200"/>
        <w:rPr>
          <w:kern w:val="0"/>
          <w:sz w:val="24"/>
        </w:rPr>
      </w:pPr>
      <w:r>
        <w:rPr>
          <w:kern w:val="0"/>
          <w:sz w:val="24"/>
        </w:rPr>
        <w:t>6.1</w:t>
      </w:r>
      <w:r>
        <w:rPr>
          <w:kern w:val="0"/>
          <w:sz w:val="24"/>
          <w:u w:val="single"/>
        </w:rPr>
        <w:t>不组织进行工程现场踏勘，并不召开投标预备会；</w:t>
      </w:r>
    </w:p>
    <w:p>
      <w:pPr>
        <w:adjustRightInd w:val="0"/>
        <w:snapToGrid w:val="0"/>
        <w:spacing w:line="360" w:lineRule="auto"/>
        <w:ind w:firstLine="480" w:firstLineChars="200"/>
        <w:rPr>
          <w:kern w:val="0"/>
          <w:sz w:val="24"/>
        </w:rPr>
      </w:pPr>
      <w:r>
        <w:rPr>
          <w:kern w:val="0"/>
          <w:sz w:val="24"/>
        </w:rPr>
        <w:t>6.2 投标文件递交的截止时间为</w:t>
      </w:r>
      <w:r>
        <w:rPr>
          <w:kern w:val="0"/>
          <w:sz w:val="24"/>
          <w:u w:val="single"/>
        </w:rPr>
        <w:t>2023年2月8日09:30:00</w:t>
      </w:r>
      <w:r>
        <w:rPr>
          <w:kern w:val="0"/>
          <w:sz w:val="24"/>
        </w:rPr>
        <w:t>，</w:t>
      </w:r>
      <w:r>
        <w:rPr>
          <w:rFonts w:hint="eastAsia"/>
          <w:kern w:val="0"/>
          <w:sz w:val="24"/>
        </w:rPr>
        <w:t>投标人应于当日</w:t>
      </w:r>
      <w:r>
        <w:rPr>
          <w:rFonts w:hint="eastAsia"/>
          <w:kern w:val="0"/>
          <w:sz w:val="24"/>
          <w:u w:val="single"/>
        </w:rPr>
        <w:t xml:space="preserve">09 </w:t>
      </w:r>
      <w:r>
        <w:rPr>
          <w:rFonts w:hint="eastAsia"/>
          <w:kern w:val="0"/>
          <w:sz w:val="24"/>
        </w:rPr>
        <w:t>时</w:t>
      </w:r>
      <w:r>
        <w:rPr>
          <w:rFonts w:hint="eastAsia"/>
          <w:kern w:val="0"/>
          <w:sz w:val="24"/>
          <w:u w:val="single"/>
        </w:rPr>
        <w:t xml:space="preserve">00 </w:t>
      </w:r>
      <w:r>
        <w:rPr>
          <w:rFonts w:hint="eastAsia"/>
          <w:kern w:val="0"/>
          <w:sz w:val="24"/>
        </w:rPr>
        <w:t>分至</w:t>
      </w:r>
      <w:r>
        <w:rPr>
          <w:rFonts w:hint="eastAsia"/>
          <w:kern w:val="0"/>
          <w:sz w:val="24"/>
          <w:u w:val="single"/>
        </w:rPr>
        <w:t xml:space="preserve">09 </w:t>
      </w:r>
      <w:r>
        <w:rPr>
          <w:rFonts w:hint="eastAsia"/>
          <w:kern w:val="0"/>
          <w:sz w:val="24"/>
        </w:rPr>
        <w:t>时</w:t>
      </w:r>
      <w:r>
        <w:rPr>
          <w:rFonts w:hint="eastAsia"/>
          <w:kern w:val="0"/>
          <w:sz w:val="24"/>
          <w:u w:val="single"/>
        </w:rPr>
        <w:t xml:space="preserve">30 </w:t>
      </w:r>
      <w:r>
        <w:rPr>
          <w:rFonts w:hint="eastAsia"/>
          <w:kern w:val="0"/>
          <w:sz w:val="24"/>
        </w:rPr>
        <w:t>分将投标文件递交至天津市政务服务中心第二开标室（天津市河东区红星路79号，红星路与卫国道交口顺驰立交桥旁）。</w:t>
      </w:r>
    </w:p>
    <w:p>
      <w:pPr>
        <w:adjustRightInd w:val="0"/>
        <w:snapToGrid w:val="0"/>
        <w:spacing w:line="360" w:lineRule="auto"/>
        <w:ind w:firstLine="480" w:firstLineChars="200"/>
        <w:rPr>
          <w:sz w:val="24"/>
        </w:rPr>
      </w:pPr>
      <w:r>
        <w:rPr>
          <w:kern w:val="0"/>
          <w:sz w:val="24"/>
        </w:rPr>
        <w:t>6.3 逾期送达</w:t>
      </w:r>
      <w:r>
        <w:rPr>
          <w:rFonts w:hint="eastAsia"/>
          <w:kern w:val="0"/>
          <w:sz w:val="24"/>
        </w:rPr>
        <w:t>或者不按照招标文件要求密封的投标文件，招标人将予以拒收。</w:t>
      </w:r>
    </w:p>
    <w:p>
      <w:pPr>
        <w:topLinePunct/>
        <w:spacing w:line="360" w:lineRule="auto"/>
        <w:outlineLvl w:val="1"/>
        <w:rPr>
          <w:rFonts w:eastAsia="黑体"/>
          <w:bCs/>
          <w:sz w:val="24"/>
        </w:rPr>
      </w:pPr>
      <w:bookmarkStart w:id="21" w:name="_Toc16754"/>
      <w:bookmarkStart w:id="22" w:name="_Toc501257038"/>
      <w:bookmarkStart w:id="23" w:name="_Toc22188"/>
      <w:bookmarkStart w:id="24" w:name="_Toc470760978"/>
      <w:bookmarkStart w:id="25" w:name="_Toc13933"/>
      <w:bookmarkStart w:id="26" w:name="_Toc27829"/>
      <w:r>
        <w:rPr>
          <w:rFonts w:eastAsia="黑体"/>
          <w:bCs/>
          <w:sz w:val="24"/>
        </w:rPr>
        <w:t>7. 发布公告的媒介</w:t>
      </w:r>
      <w:bookmarkEnd w:id="21"/>
      <w:bookmarkEnd w:id="22"/>
      <w:bookmarkEnd w:id="23"/>
      <w:bookmarkEnd w:id="24"/>
      <w:bookmarkEnd w:id="25"/>
      <w:bookmarkEnd w:id="26"/>
    </w:p>
    <w:tbl>
      <w:tblPr>
        <w:tblStyle w:val="6"/>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4111" w:type="dxa"/>
            <w:tcBorders>
              <w:top w:val="single" w:color="auto" w:sz="4" w:space="0"/>
              <w:left w:val="single" w:color="auto" w:sz="4" w:space="0"/>
              <w:bottom w:val="single" w:color="auto" w:sz="4" w:space="0"/>
              <w:right w:val="single" w:color="auto" w:sz="4" w:space="0"/>
            </w:tcBorders>
          </w:tcPr>
          <w:p>
            <w:pPr>
              <w:topLinePunct/>
              <w:jc w:val="center"/>
              <w:rPr>
                <w:rFonts w:ascii="宋体" w:hAnsi="宋体"/>
                <w:kern w:val="0"/>
                <w:sz w:val="24"/>
                <w:lang w:val="zh-TW" w:eastAsia="zh-TW" w:bidi="zh-TW"/>
              </w:rPr>
            </w:pPr>
            <w:bookmarkStart w:id="27" w:name="_Toc12320"/>
            <w:bookmarkStart w:id="28" w:name="_Toc27940"/>
            <w:bookmarkStart w:id="29" w:name="_Toc470760979"/>
            <w:bookmarkStart w:id="30" w:name="_Toc501257039"/>
            <w:bookmarkStart w:id="31" w:name="_Toc8381"/>
            <w:bookmarkStart w:id="32" w:name="_Toc4788"/>
            <w:r>
              <w:rPr>
                <w:rFonts w:hint="eastAsia" w:ascii="宋体" w:hAnsi="宋体"/>
                <w:kern w:val="0"/>
                <w:sz w:val="24"/>
                <w:lang w:val="zh-TW" w:eastAsia="zh-TW" w:bidi="zh-TW"/>
              </w:rPr>
              <w:t>媒介名称</w:t>
            </w:r>
          </w:p>
        </w:tc>
        <w:tc>
          <w:tcPr>
            <w:tcW w:w="4109" w:type="dxa"/>
            <w:tcBorders>
              <w:top w:val="single" w:color="auto" w:sz="4" w:space="0"/>
              <w:left w:val="single" w:color="auto" w:sz="4" w:space="0"/>
              <w:bottom w:val="single" w:color="auto" w:sz="4" w:space="0"/>
              <w:right w:val="single" w:color="auto" w:sz="4" w:space="0"/>
            </w:tcBorders>
          </w:tcPr>
          <w:p>
            <w:pPr>
              <w:topLinePunct/>
              <w:jc w:val="center"/>
              <w:rPr>
                <w:rFonts w:ascii="宋体" w:hAnsi="宋体"/>
                <w:kern w:val="0"/>
                <w:sz w:val="24"/>
                <w:lang w:val="zh-TW" w:eastAsia="zh-TW" w:bidi="zh-TW"/>
              </w:rPr>
            </w:pPr>
            <w:r>
              <w:rPr>
                <w:rFonts w:hint="eastAsia" w:ascii="宋体" w:hAnsi="宋体"/>
                <w:kern w:val="0"/>
                <w:sz w:val="24"/>
                <w:lang w:val="zh-TW" w:eastAsia="zh-TW" w:bidi="zh-TW"/>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4111" w:type="dxa"/>
            <w:tcBorders>
              <w:top w:val="single" w:color="auto" w:sz="4" w:space="0"/>
              <w:left w:val="single" w:color="auto" w:sz="4" w:space="0"/>
              <w:bottom w:val="single" w:color="auto" w:sz="4" w:space="0"/>
              <w:right w:val="single" w:color="auto" w:sz="4" w:space="0"/>
            </w:tcBorders>
          </w:tcPr>
          <w:p>
            <w:pPr>
              <w:topLinePunct/>
              <w:jc w:val="left"/>
              <w:rPr>
                <w:rFonts w:ascii="宋体" w:hAnsi="宋体" w:eastAsia="PMingLiU"/>
                <w:kern w:val="0"/>
                <w:sz w:val="24"/>
                <w:lang w:val="zh-TW" w:eastAsia="zh-TW" w:bidi="zh-TW"/>
              </w:rPr>
            </w:pPr>
            <w:r>
              <w:rPr>
                <w:rFonts w:hint="eastAsia" w:ascii="宋体" w:hAnsi="宋体"/>
                <w:kern w:val="0"/>
                <w:sz w:val="24"/>
                <w:lang w:val="zh-TW" w:eastAsia="zh-TW" w:bidi="zh-TW"/>
              </w:rPr>
              <w:t>《</w:t>
            </w:r>
            <w:r>
              <w:rPr>
                <w:rFonts w:hint="eastAsia" w:ascii="宋体" w:hAnsi="宋体" w:eastAsia="PMingLiU"/>
                <w:kern w:val="0"/>
                <w:sz w:val="24"/>
                <w:lang w:val="zh-TW" w:eastAsia="zh-TW" w:bidi="zh-TW"/>
              </w:rPr>
              <w:t>天津市滨海新区交通运输局</w:t>
            </w:r>
            <w:r>
              <w:rPr>
                <w:rFonts w:hint="eastAsia" w:asciiTheme="minorEastAsia" w:hAnsiTheme="minorEastAsia" w:eastAsiaTheme="minorEastAsia"/>
                <w:kern w:val="0"/>
                <w:sz w:val="24"/>
                <w:lang w:val="zh-TW" w:eastAsia="zh-TW" w:bidi="zh-TW"/>
              </w:rPr>
              <w:t>官网</w:t>
            </w:r>
            <w:r>
              <w:rPr>
                <w:rFonts w:hint="eastAsia" w:ascii="宋体" w:hAnsi="宋体"/>
                <w:kern w:val="0"/>
                <w:sz w:val="24"/>
                <w:lang w:val="zh-TW" w:eastAsia="zh-TW" w:bidi="zh-TW"/>
              </w:rPr>
              <w:t>》</w:t>
            </w:r>
          </w:p>
        </w:tc>
        <w:tc>
          <w:tcPr>
            <w:tcW w:w="4109" w:type="dxa"/>
            <w:tcBorders>
              <w:top w:val="single" w:color="auto" w:sz="4" w:space="0"/>
              <w:left w:val="single" w:color="auto" w:sz="4" w:space="0"/>
              <w:bottom w:val="single" w:color="auto" w:sz="4" w:space="0"/>
              <w:right w:val="single" w:color="auto" w:sz="4" w:space="0"/>
            </w:tcBorders>
          </w:tcPr>
          <w:p>
            <w:pPr>
              <w:topLinePunct/>
              <w:jc w:val="left"/>
              <w:rPr>
                <w:rFonts w:ascii="宋体" w:hAnsi="宋体"/>
                <w:kern w:val="0"/>
                <w:sz w:val="24"/>
                <w:lang w:val="zh-TW" w:eastAsia="zh-TW" w:bidi="zh-TW"/>
              </w:rPr>
            </w:pPr>
            <w:r>
              <w:rPr>
                <w:rFonts w:ascii="宋体" w:hAnsi="宋体"/>
                <w:kern w:val="0"/>
                <w:sz w:val="24"/>
                <w:lang w:val="zh-TW" w:eastAsia="zh-TW" w:bidi="zh-TW"/>
              </w:rPr>
              <w:t>http://jtysj.tjbh.gov.cn/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4111" w:type="dxa"/>
            <w:tcBorders>
              <w:top w:val="single" w:color="auto" w:sz="4" w:space="0"/>
              <w:left w:val="single" w:color="auto" w:sz="4" w:space="0"/>
              <w:bottom w:val="single" w:color="auto" w:sz="4" w:space="0"/>
              <w:right w:val="single" w:color="auto" w:sz="4" w:space="0"/>
            </w:tcBorders>
          </w:tcPr>
          <w:p>
            <w:pPr>
              <w:topLinePunct/>
              <w:jc w:val="left"/>
              <w:rPr>
                <w:rFonts w:ascii="宋体" w:hAnsi="宋体"/>
                <w:kern w:val="0"/>
                <w:sz w:val="24"/>
                <w:lang w:val="zh-TW" w:eastAsia="zh-TW" w:bidi="zh-TW"/>
              </w:rPr>
            </w:pPr>
            <w:r>
              <w:rPr>
                <w:rFonts w:hint="eastAsia" w:ascii="宋体" w:hAnsi="宋体"/>
                <w:kern w:val="0"/>
                <w:sz w:val="24"/>
                <w:lang w:val="zh-TW" w:eastAsia="zh-TW" w:bidi="zh-TW"/>
              </w:rPr>
              <w:t>《天津市公共资源交易平台》</w:t>
            </w:r>
          </w:p>
        </w:tc>
        <w:tc>
          <w:tcPr>
            <w:tcW w:w="4109" w:type="dxa"/>
            <w:tcBorders>
              <w:top w:val="single" w:color="auto" w:sz="4" w:space="0"/>
              <w:left w:val="single" w:color="auto" w:sz="4" w:space="0"/>
              <w:bottom w:val="single" w:color="auto" w:sz="4" w:space="0"/>
              <w:right w:val="single" w:color="auto" w:sz="4" w:space="0"/>
            </w:tcBorders>
          </w:tcPr>
          <w:p>
            <w:pPr>
              <w:topLinePunct/>
              <w:jc w:val="left"/>
              <w:rPr>
                <w:rFonts w:ascii="宋体" w:hAnsi="宋体"/>
                <w:kern w:val="0"/>
                <w:sz w:val="24"/>
                <w:lang w:val="zh-TW" w:eastAsia="zh-TW" w:bidi="zh-TW"/>
              </w:rPr>
            </w:pPr>
            <w:r>
              <w:rPr>
                <w:rFonts w:hint="eastAsia" w:ascii="宋体" w:hAnsi="宋体"/>
                <w:kern w:val="0"/>
                <w:sz w:val="24"/>
                <w:lang w:val="zh-TW" w:eastAsia="zh-TW" w:bidi="zh-TW"/>
              </w:rPr>
              <w:t>http://60.28.163.169/</w:t>
            </w:r>
          </w:p>
        </w:tc>
      </w:tr>
    </w:tbl>
    <w:p>
      <w:pPr>
        <w:topLinePunct/>
        <w:spacing w:line="360" w:lineRule="auto"/>
        <w:outlineLvl w:val="1"/>
        <w:rPr>
          <w:rFonts w:eastAsia="黑体"/>
          <w:bCs/>
          <w:sz w:val="24"/>
        </w:rPr>
      </w:pPr>
      <w:r>
        <w:rPr>
          <w:rFonts w:eastAsia="黑体"/>
          <w:bCs/>
          <w:sz w:val="24"/>
        </w:rPr>
        <w:t>8</w:t>
      </w:r>
      <w:r>
        <w:rPr>
          <w:rFonts w:hint="eastAsia" w:eastAsia="黑体"/>
          <w:bCs/>
          <w:sz w:val="24"/>
        </w:rPr>
        <w:t>．招标文件关键内容</w:t>
      </w:r>
    </w:p>
    <w:p>
      <w:pPr>
        <w:adjustRightInd w:val="0"/>
        <w:snapToGrid w:val="0"/>
        <w:spacing w:line="360" w:lineRule="auto"/>
        <w:ind w:firstLine="480" w:firstLineChars="200"/>
        <w:rPr>
          <w:kern w:val="0"/>
          <w:sz w:val="24"/>
        </w:rPr>
      </w:pPr>
      <w:r>
        <w:rPr>
          <w:rFonts w:hint="eastAsia"/>
          <w:kern w:val="0"/>
          <w:sz w:val="24"/>
        </w:rPr>
        <w:t>另见附件，最终以发售纸质招标文件为准。</w:t>
      </w:r>
    </w:p>
    <w:p>
      <w:pPr>
        <w:topLinePunct/>
        <w:spacing w:line="360" w:lineRule="auto"/>
        <w:outlineLvl w:val="1"/>
        <w:rPr>
          <w:rFonts w:eastAsia="黑体"/>
          <w:bCs/>
          <w:sz w:val="24"/>
        </w:rPr>
      </w:pPr>
      <w:r>
        <w:rPr>
          <w:rFonts w:eastAsia="黑体"/>
          <w:bCs/>
          <w:sz w:val="24"/>
        </w:rPr>
        <w:t>9. 联系方式</w:t>
      </w:r>
      <w:bookmarkEnd w:id="27"/>
      <w:bookmarkEnd w:id="28"/>
      <w:bookmarkEnd w:id="29"/>
      <w:bookmarkEnd w:id="30"/>
      <w:bookmarkEnd w:id="31"/>
      <w:bookmarkEnd w:id="32"/>
    </w:p>
    <w:p>
      <w:pPr>
        <w:spacing w:line="360" w:lineRule="auto"/>
        <w:ind w:firstLine="480" w:firstLineChars="200"/>
        <w:rPr>
          <w:strike/>
          <w:sz w:val="24"/>
        </w:rPr>
      </w:pPr>
      <w:r>
        <w:rPr>
          <w:sz w:val="24"/>
        </w:rPr>
        <w:t>招 标 人：天津泰达津滨高速公路有限公司</w:t>
      </w:r>
    </w:p>
    <w:p>
      <w:pPr>
        <w:spacing w:line="360" w:lineRule="auto"/>
        <w:ind w:firstLine="480" w:firstLineChars="200"/>
        <w:rPr>
          <w:sz w:val="24"/>
        </w:rPr>
      </w:pPr>
      <w:r>
        <w:rPr>
          <w:sz w:val="24"/>
        </w:rPr>
        <w:t>地    址：天津经济技术开发区宏达街21号泰达档案馆6层</w:t>
      </w:r>
    </w:p>
    <w:p>
      <w:pPr>
        <w:spacing w:line="360" w:lineRule="auto"/>
        <w:ind w:firstLine="480" w:firstLineChars="200"/>
        <w:rPr>
          <w:sz w:val="24"/>
        </w:rPr>
      </w:pPr>
      <w:r>
        <w:rPr>
          <w:sz w:val="24"/>
        </w:rPr>
        <w:t>联 系 人：李</w:t>
      </w:r>
      <w:r>
        <w:rPr>
          <w:rFonts w:hint="eastAsia"/>
          <w:sz w:val="24"/>
        </w:rPr>
        <w:t>强</w:t>
      </w:r>
    </w:p>
    <w:p>
      <w:pPr>
        <w:spacing w:line="360" w:lineRule="auto"/>
        <w:ind w:firstLine="480" w:firstLineChars="200"/>
        <w:rPr>
          <w:sz w:val="24"/>
        </w:rPr>
      </w:pPr>
      <w:r>
        <w:rPr>
          <w:sz w:val="24"/>
        </w:rPr>
        <w:t>电    话：022-25208197</w:t>
      </w:r>
    </w:p>
    <w:p>
      <w:pPr>
        <w:spacing w:line="360" w:lineRule="auto"/>
        <w:ind w:firstLine="480" w:firstLineChars="200"/>
        <w:rPr>
          <w:sz w:val="24"/>
        </w:rPr>
      </w:pPr>
    </w:p>
    <w:p>
      <w:pPr>
        <w:spacing w:line="360" w:lineRule="auto"/>
        <w:ind w:firstLine="480" w:firstLineChars="200"/>
        <w:rPr>
          <w:sz w:val="24"/>
        </w:rPr>
      </w:pPr>
      <w:bookmarkStart w:id="33" w:name="招标代理信息"/>
      <w:r>
        <w:rPr>
          <w:sz w:val="24"/>
        </w:rPr>
        <w:t>招标代理：建融建设管理集团有限责任公司</w:t>
      </w:r>
    </w:p>
    <w:p>
      <w:pPr>
        <w:spacing w:line="360" w:lineRule="auto"/>
        <w:ind w:firstLine="480" w:firstLineChars="200"/>
        <w:rPr>
          <w:sz w:val="24"/>
        </w:rPr>
      </w:pPr>
      <w:r>
        <w:rPr>
          <w:sz w:val="24"/>
        </w:rPr>
        <w:t>地    址：天津自贸试验区（空港经济区）中心大道与东七道交口吾合商务中心302室</w:t>
      </w:r>
    </w:p>
    <w:p>
      <w:pPr>
        <w:spacing w:line="360" w:lineRule="auto"/>
        <w:ind w:firstLine="480" w:firstLineChars="200"/>
        <w:rPr>
          <w:sz w:val="24"/>
        </w:rPr>
      </w:pPr>
      <w:r>
        <w:rPr>
          <w:sz w:val="24"/>
        </w:rPr>
        <w:t>联 系 人：</w:t>
      </w:r>
      <w:r>
        <w:rPr>
          <w:rFonts w:hint="eastAsia"/>
          <w:sz w:val="24"/>
        </w:rPr>
        <w:t>赵达、孙雅婷、孙华威</w:t>
      </w:r>
    </w:p>
    <w:p>
      <w:pPr>
        <w:spacing w:line="360" w:lineRule="auto"/>
        <w:ind w:firstLine="480" w:firstLineChars="200"/>
        <w:rPr>
          <w:sz w:val="24"/>
        </w:rPr>
      </w:pPr>
      <w:r>
        <w:rPr>
          <w:sz w:val="24"/>
        </w:rPr>
        <w:t>电    话：</w:t>
      </w:r>
      <w:r>
        <w:rPr>
          <w:rFonts w:hint="eastAsia"/>
          <w:sz w:val="24"/>
        </w:rPr>
        <w:t>022-82909789</w:t>
      </w:r>
      <w:bookmarkStart w:id="34" w:name="_GoBack"/>
      <w:bookmarkEnd w:id="34"/>
    </w:p>
    <w:p>
      <w:pPr>
        <w:spacing w:line="360" w:lineRule="auto"/>
        <w:ind w:firstLine="480" w:firstLineChars="200"/>
        <w:rPr>
          <w:sz w:val="24"/>
        </w:rPr>
      </w:pPr>
      <w:r>
        <w:rPr>
          <w:sz w:val="24"/>
        </w:rPr>
        <w:t>传    真：</w:t>
      </w:r>
      <w:r>
        <w:rPr>
          <w:rFonts w:hint="eastAsia"/>
          <w:sz w:val="24"/>
        </w:rPr>
        <w:t>022-82909789</w:t>
      </w:r>
    </w:p>
    <w:p>
      <w:pPr>
        <w:spacing w:line="360" w:lineRule="auto"/>
        <w:ind w:firstLine="480" w:firstLineChars="200"/>
        <w:rPr>
          <w:sz w:val="24"/>
        </w:rPr>
      </w:pPr>
      <w:r>
        <w:rPr>
          <w:sz w:val="24"/>
        </w:rPr>
        <w:t>邮    箱：</w:t>
      </w:r>
      <w:bookmarkEnd w:id="33"/>
      <w:r>
        <w:rPr>
          <w:sz w:val="24"/>
        </w:rPr>
        <w:t>jianrongtianjin@163.com</w:t>
      </w:r>
    </w:p>
    <w:p>
      <w:pPr>
        <w:spacing w:line="360" w:lineRule="auto"/>
        <w:ind w:firstLine="480" w:firstLineChars="200"/>
        <w:jc w:val="right"/>
        <w:rPr>
          <w:sz w:val="24"/>
        </w:rPr>
      </w:pPr>
      <w:r>
        <w:rPr>
          <w:sz w:val="24"/>
        </w:rPr>
        <w:t xml:space="preserve"> 2024年 1月 18日</w:t>
      </w:r>
    </w:p>
    <w:bookmarkEnd w:id="0"/>
    <w:bookmarkEnd w:id="1"/>
    <w:bookmarkEnd w:id="2"/>
    <w:p>
      <w:pPr>
        <w:widowControl/>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1MTFiMzE0OTA1NzczOTRjMjg0Zjg1YmZlZDU2NzAifQ=="/>
  </w:docVars>
  <w:rsids>
    <w:rsidRoot w:val="00EA2E51"/>
    <w:rsid w:val="00282540"/>
    <w:rsid w:val="00316C64"/>
    <w:rsid w:val="005955D7"/>
    <w:rsid w:val="00EA2E51"/>
    <w:rsid w:val="73375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3"/>
    <w:qFormat/>
    <w:uiPriority w:val="0"/>
    <w:pPr>
      <w:spacing w:line="500" w:lineRule="exact"/>
      <w:ind w:firstLine="540" w:firstLineChars="200"/>
    </w:pPr>
    <w:rPr>
      <w:rFonts w:ascii="宋体" w:hAnsi="宋体"/>
      <w:sz w:val="27"/>
      <w:szCs w:val="27"/>
      <w:lang w:val="zh-CN"/>
    </w:rPr>
  </w:style>
  <w:style w:type="paragraph" w:styleId="3">
    <w:name w:val="Body Text"/>
    <w:basedOn w:val="1"/>
    <w:link w:val="12"/>
    <w:qFormat/>
    <w:uiPriority w:val="0"/>
    <w:pPr>
      <w:spacing w:after="120"/>
    </w:pPr>
    <w:rPr>
      <w:lang w:val="zh-CN"/>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正文文本缩进 2 字符"/>
    <w:basedOn w:val="7"/>
    <w:semiHidden/>
    <w:uiPriority w:val="99"/>
    <w:rPr>
      <w:rFonts w:ascii="Times New Roman" w:hAnsi="Times New Roman" w:eastAsia="宋体" w:cs="Times New Roman"/>
      <w:szCs w:val="24"/>
    </w:rPr>
  </w:style>
  <w:style w:type="character" w:customStyle="1" w:styleId="11">
    <w:name w:val="正文文本 字符"/>
    <w:basedOn w:val="7"/>
    <w:semiHidden/>
    <w:uiPriority w:val="99"/>
    <w:rPr>
      <w:rFonts w:ascii="Times New Roman" w:hAnsi="Times New Roman" w:eastAsia="宋体" w:cs="Times New Roman"/>
      <w:szCs w:val="24"/>
    </w:rPr>
  </w:style>
  <w:style w:type="character" w:customStyle="1" w:styleId="12">
    <w:name w:val="正文文本 字符1"/>
    <w:link w:val="3"/>
    <w:qFormat/>
    <w:uiPriority w:val="0"/>
    <w:rPr>
      <w:rFonts w:ascii="Times New Roman" w:hAnsi="Times New Roman" w:eastAsia="宋体" w:cs="Times New Roman"/>
      <w:szCs w:val="24"/>
      <w:lang w:val="zh-CN"/>
    </w:rPr>
  </w:style>
  <w:style w:type="character" w:customStyle="1" w:styleId="13">
    <w:name w:val="正文文本缩进 2 字符1"/>
    <w:link w:val="2"/>
    <w:qFormat/>
    <w:uiPriority w:val="0"/>
    <w:rPr>
      <w:rFonts w:ascii="宋体" w:hAnsi="宋体" w:eastAsia="宋体" w:cs="Times New Roman"/>
      <w:sz w:val="27"/>
      <w:szCs w:val="27"/>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501</Words>
  <Characters>2862</Characters>
  <Lines>23</Lines>
  <Paragraphs>6</Paragraphs>
  <TotalTime>0</TotalTime>
  <ScaleCrop>false</ScaleCrop>
  <LinksUpToDate>false</LinksUpToDate>
  <CharactersWithSpaces>3357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2024-01-18T05:54:00Z</dcterms:created>
  <dc:creator>da zhao</dc:creator>
  <cp:lastModifiedBy>箫雨</cp:lastModifiedBy>
  <dcterms:modified xsi:type="dcterms:W3CDTF">2024-01-18T07:31:11Z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6E5D086D158648B39E35033EA7EBDDCF_12</vt:lpwstr>
  </property>
</Properties>
</file>